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F53C" w14:textId="12F1B767" w:rsidR="00A32AC3" w:rsidRPr="00BA7D06" w:rsidRDefault="00BA7D06" w:rsidP="00BA7D06">
      <w:pPr>
        <w:spacing w:after="0"/>
        <w:jc w:val="center"/>
        <w:rPr>
          <w:rFonts w:eastAsia="Times New Roman"/>
          <w:b/>
          <w:sz w:val="24"/>
          <w:szCs w:val="24"/>
          <w:lang w:val="en-GB"/>
        </w:rPr>
      </w:pPr>
      <w:r w:rsidRPr="00BA7D06">
        <w:rPr>
          <w:rFonts w:eastAsia="Times New Roman"/>
          <w:b/>
          <w:sz w:val="24"/>
          <w:szCs w:val="24"/>
          <w:lang w:val="en-GB"/>
        </w:rPr>
        <w:t xml:space="preserve">Invitation to tender for </w:t>
      </w:r>
      <w:r w:rsidR="00A32AC3" w:rsidRPr="00BA7D06">
        <w:rPr>
          <w:rFonts w:eastAsia="Times New Roman"/>
          <w:b/>
          <w:sz w:val="24"/>
          <w:szCs w:val="24"/>
          <w:lang w:val="en-GB"/>
        </w:rPr>
        <w:t>Internal</w:t>
      </w:r>
      <w:r w:rsidR="0007355B" w:rsidRPr="00BA7D06">
        <w:rPr>
          <w:rFonts w:eastAsia="Times New Roman"/>
          <w:b/>
          <w:sz w:val="24"/>
          <w:szCs w:val="24"/>
          <w:lang w:val="en-GB"/>
        </w:rPr>
        <w:t xml:space="preserve"> Audit</w:t>
      </w:r>
    </w:p>
    <w:p w14:paraId="4909C001" w14:textId="29A9A751" w:rsidR="00BA7D06" w:rsidRPr="00BA7D06" w:rsidRDefault="00BA7D06" w:rsidP="00BA7D06">
      <w:pPr>
        <w:spacing w:after="0"/>
        <w:jc w:val="center"/>
        <w:rPr>
          <w:rFonts w:eastAsia="Times New Roman"/>
          <w:b/>
          <w:sz w:val="24"/>
          <w:szCs w:val="24"/>
          <w:lang w:val="en-GB"/>
        </w:rPr>
      </w:pPr>
      <w:r w:rsidRPr="00BA7D06">
        <w:rPr>
          <w:rFonts w:eastAsia="Times New Roman"/>
          <w:b/>
          <w:sz w:val="24"/>
          <w:szCs w:val="24"/>
          <w:lang w:val="en-GB"/>
        </w:rPr>
        <w:t>on</w:t>
      </w:r>
    </w:p>
    <w:p w14:paraId="1670288F" w14:textId="6A185745" w:rsidR="00BA7D06" w:rsidRDefault="0043193C" w:rsidP="00BA7D06">
      <w:pPr>
        <w:spacing w:after="0"/>
        <w:jc w:val="center"/>
        <w:rPr>
          <w:b/>
          <w:bCs w:val="0"/>
          <w:sz w:val="22"/>
          <w:szCs w:val="24"/>
        </w:rPr>
      </w:pPr>
      <w:r>
        <w:rPr>
          <w:b/>
          <w:sz w:val="24"/>
          <w:szCs w:val="28"/>
        </w:rPr>
        <w:t>Business Continuity and Disaster Recovery Plans</w:t>
      </w:r>
    </w:p>
    <w:p w14:paraId="2F274AC2" w14:textId="77777777" w:rsidR="00BA7D06" w:rsidRDefault="00BA7D06" w:rsidP="00BA7D06">
      <w:pPr>
        <w:spacing w:after="0"/>
        <w:jc w:val="center"/>
        <w:rPr>
          <w:b/>
          <w:bCs w:val="0"/>
          <w:sz w:val="22"/>
          <w:szCs w:val="24"/>
        </w:rPr>
      </w:pPr>
    </w:p>
    <w:p w14:paraId="6830EC7E" w14:textId="54A43ADC" w:rsidR="0007355B" w:rsidRPr="00BA7D06" w:rsidRDefault="00812915" w:rsidP="008A1792">
      <w:pPr>
        <w:widowControl w:val="0"/>
        <w:autoSpaceDE w:val="0"/>
        <w:autoSpaceDN w:val="0"/>
        <w:spacing w:before="240" w:after="240" w:line="256" w:lineRule="auto"/>
        <w:rPr>
          <w:rFonts w:eastAsia="Times New Roman"/>
          <w:b/>
          <w:szCs w:val="20"/>
          <w:lang w:val="en-GB"/>
        </w:rPr>
      </w:pPr>
      <w:r w:rsidRPr="00BA7D06">
        <w:rPr>
          <w:rFonts w:eastAsia="Times New Roman"/>
          <w:b/>
          <w:szCs w:val="20"/>
          <w:lang w:val="en-GB"/>
        </w:rPr>
        <w:t xml:space="preserve">1.0 </w:t>
      </w:r>
      <w:r w:rsidR="009F3DCF" w:rsidRPr="00BA7D06">
        <w:rPr>
          <w:rFonts w:eastAsia="Times New Roman"/>
          <w:b/>
          <w:szCs w:val="20"/>
          <w:lang w:val="en-GB"/>
        </w:rPr>
        <w:t>PURPOSE</w:t>
      </w:r>
    </w:p>
    <w:p w14:paraId="2971DA4F" w14:textId="633D978F" w:rsidR="009C7390" w:rsidRPr="009C7390" w:rsidRDefault="009C7390" w:rsidP="008A1792">
      <w:pPr>
        <w:widowControl w:val="0"/>
        <w:autoSpaceDE w:val="0"/>
        <w:autoSpaceDN w:val="0"/>
        <w:spacing w:before="240" w:after="240" w:line="256" w:lineRule="auto"/>
        <w:rPr>
          <w:rFonts w:eastAsia="Times New Roman"/>
          <w:szCs w:val="20"/>
          <w:lang w:val="en-GB"/>
        </w:rPr>
      </w:pPr>
      <w:r w:rsidRPr="009C7390">
        <w:rPr>
          <w:rFonts w:eastAsia="Times New Roman"/>
          <w:szCs w:val="20"/>
          <w:lang w:val="en-GB"/>
        </w:rPr>
        <w:t xml:space="preserve">The need for effective business continuity and disaster recovery plans is particularly important to protect </w:t>
      </w:r>
      <w:r w:rsidR="00E51F34">
        <w:rPr>
          <w:rFonts w:eastAsia="Times New Roman"/>
          <w:szCs w:val="20"/>
          <w:lang w:val="en-GB"/>
        </w:rPr>
        <w:t>Plant Health Australia’s (</w:t>
      </w:r>
      <w:r w:rsidRPr="009C7390">
        <w:rPr>
          <w:rFonts w:eastAsia="Times New Roman"/>
          <w:szCs w:val="20"/>
          <w:lang w:val="en-GB"/>
        </w:rPr>
        <w:t>PHA’s</w:t>
      </w:r>
      <w:r w:rsidR="00E51F34">
        <w:rPr>
          <w:rFonts w:eastAsia="Times New Roman"/>
          <w:szCs w:val="20"/>
          <w:lang w:val="en-GB"/>
        </w:rPr>
        <w:t>)</w:t>
      </w:r>
      <w:r w:rsidRPr="009C7390">
        <w:rPr>
          <w:rFonts w:eastAsia="Times New Roman"/>
          <w:szCs w:val="20"/>
          <w:lang w:val="en-GB"/>
        </w:rPr>
        <w:t xml:space="preserve"> reputation and operations in the event of a disaster or security incident for example. Cyber security is currently reviewed on a frequent basis; however, it is also important to ensure business as usual can be restored quickly in the event of an outage, disaster or other event/incident and there is no critical loss for PHA.</w:t>
      </w:r>
    </w:p>
    <w:p w14:paraId="2EAA95D6" w14:textId="33B45D73" w:rsidR="0007355B" w:rsidRPr="00BA7D06" w:rsidRDefault="00812915" w:rsidP="008A1792">
      <w:pPr>
        <w:widowControl w:val="0"/>
        <w:autoSpaceDE w:val="0"/>
        <w:autoSpaceDN w:val="0"/>
        <w:spacing w:before="240" w:after="240" w:line="256" w:lineRule="auto"/>
        <w:rPr>
          <w:rFonts w:eastAsia="Times New Roman"/>
          <w:b/>
          <w:szCs w:val="20"/>
          <w:lang w:val="en-GB"/>
        </w:rPr>
      </w:pPr>
      <w:r w:rsidRPr="00BA7D06">
        <w:rPr>
          <w:rFonts w:eastAsia="Times New Roman"/>
          <w:b/>
          <w:szCs w:val="20"/>
          <w:lang w:val="en-GB"/>
        </w:rPr>
        <w:t>2.</w:t>
      </w:r>
      <w:r w:rsidR="0020390C" w:rsidRPr="00BA7D06">
        <w:rPr>
          <w:rFonts w:eastAsia="Times New Roman"/>
          <w:b/>
          <w:szCs w:val="20"/>
          <w:lang w:val="en-GB"/>
        </w:rPr>
        <w:t>0</w:t>
      </w:r>
      <w:r w:rsidRPr="00BA7D06">
        <w:rPr>
          <w:rFonts w:eastAsia="Times New Roman"/>
          <w:b/>
          <w:szCs w:val="20"/>
          <w:lang w:val="en-GB"/>
        </w:rPr>
        <w:t xml:space="preserve"> </w:t>
      </w:r>
      <w:r w:rsidR="009F3DCF" w:rsidRPr="00BA7D06">
        <w:rPr>
          <w:rFonts w:eastAsia="Times New Roman"/>
          <w:b/>
          <w:szCs w:val="20"/>
          <w:lang w:val="en-GB"/>
        </w:rPr>
        <w:t>INTRODUCTION</w:t>
      </w:r>
    </w:p>
    <w:p w14:paraId="758188C9" w14:textId="0300E940" w:rsidR="00AF1CFE" w:rsidRPr="00AF1CFE" w:rsidRDefault="0007355B" w:rsidP="008A1792">
      <w:pPr>
        <w:widowControl w:val="0"/>
        <w:autoSpaceDE w:val="0"/>
        <w:autoSpaceDN w:val="0"/>
        <w:spacing w:before="240" w:after="0" w:line="240" w:lineRule="auto"/>
        <w:rPr>
          <w:rFonts w:eastAsia="Times New Roman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>The purpose of PHA is to</w:t>
      </w:r>
      <w:r w:rsidR="00AF1CFE">
        <w:rPr>
          <w:rFonts w:eastAsia="Times New Roman"/>
          <w:szCs w:val="20"/>
          <w:lang w:val="en-GB"/>
        </w:rPr>
        <w:t xml:space="preserve"> </w:t>
      </w:r>
      <w:r w:rsidR="00AF1CFE" w:rsidRPr="00AF1CFE">
        <w:rPr>
          <w:rFonts w:eastAsia="Times New Roman"/>
          <w:szCs w:val="20"/>
          <w:lang w:val="en-GB"/>
        </w:rPr>
        <w:t>strengthen the Australian plant biosecurity system for the benefit of the economy, environment, and community. </w:t>
      </w:r>
    </w:p>
    <w:p w14:paraId="51CFE0B4" w14:textId="6880134F" w:rsidR="00436D52" w:rsidRDefault="00436D52" w:rsidP="00AF1CFE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/>
          <w:szCs w:val="20"/>
          <w:lang w:val="en-GB"/>
        </w:rPr>
      </w:pPr>
      <w:r>
        <w:rPr>
          <w:rFonts w:eastAsia="Times New Roman"/>
          <w:szCs w:val="20"/>
          <w:lang w:val="en-GB"/>
        </w:rPr>
        <w:t>PHA</w:t>
      </w:r>
      <w:r w:rsidRPr="00436D52">
        <w:rPr>
          <w:rFonts w:eastAsia="Times New Roman"/>
          <w:szCs w:val="20"/>
          <w:lang w:val="en-GB"/>
        </w:rPr>
        <w:t xml:space="preserve"> is the trusted coordinator of the Australian plant biosecurity system. We bring expertise, knowledge and stakeholders together to generate solutions that improve biosecurity outcomes to ensure that the system is future-oriented and solutions-focused. </w:t>
      </w:r>
    </w:p>
    <w:p w14:paraId="0AB017E3" w14:textId="584CFBA0" w:rsidR="00770E6F" w:rsidRPr="00BA7D06" w:rsidRDefault="0007355B" w:rsidP="00770E6F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 xml:space="preserve">PHA is recognised nationally and internationally as the independent and trusted coordinator of a robust, </w:t>
      </w:r>
      <w:r w:rsidR="00A32AC3" w:rsidRPr="00BA7D06">
        <w:rPr>
          <w:rFonts w:eastAsia="Times New Roman"/>
          <w:szCs w:val="20"/>
          <w:lang w:val="en-GB"/>
        </w:rPr>
        <w:t>shared,</w:t>
      </w:r>
      <w:r w:rsidRPr="00BA7D06">
        <w:rPr>
          <w:rFonts w:eastAsia="Times New Roman"/>
          <w:szCs w:val="20"/>
          <w:lang w:val="en-GB"/>
        </w:rPr>
        <w:t xml:space="preserve"> and integrated Australian plant biosecurity system.</w:t>
      </w:r>
      <w:r w:rsidR="00770E6F">
        <w:rPr>
          <w:rFonts w:eastAsia="Times New Roman"/>
          <w:szCs w:val="20"/>
          <w:lang w:val="en-GB"/>
        </w:rPr>
        <w:t xml:space="preserve"> We are</w:t>
      </w:r>
      <w:r w:rsidR="00770E6F" w:rsidRPr="00BA7D06">
        <w:rPr>
          <w:rFonts w:eastAsia="Times New Roman"/>
          <w:szCs w:val="20"/>
          <w:lang w:val="en-GB"/>
        </w:rPr>
        <w:t xml:space="preserve"> the national coordinator of the government-industry partnership for plant biosecurity in Australia.</w:t>
      </w:r>
    </w:p>
    <w:p w14:paraId="68FD999C" w14:textId="4D2CD682" w:rsidR="00812915" w:rsidRPr="00BA7D06" w:rsidRDefault="00812915" w:rsidP="00156052">
      <w:pPr>
        <w:widowControl w:val="0"/>
        <w:autoSpaceDE w:val="0"/>
        <w:autoSpaceDN w:val="0"/>
        <w:spacing w:before="120" w:after="0" w:line="256" w:lineRule="auto"/>
        <w:rPr>
          <w:rFonts w:eastAsia="Times New Roman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 xml:space="preserve">PHA’s </w:t>
      </w:r>
      <w:r w:rsidR="00156052">
        <w:rPr>
          <w:rFonts w:eastAsia="Times New Roman"/>
          <w:szCs w:val="20"/>
          <w:lang w:val="en-GB"/>
        </w:rPr>
        <w:t>core</w:t>
      </w:r>
      <w:r w:rsidRPr="00BA7D06">
        <w:rPr>
          <w:rFonts w:eastAsia="Times New Roman"/>
          <w:szCs w:val="20"/>
          <w:lang w:val="en-GB"/>
        </w:rPr>
        <w:t xml:space="preserve"> activities are funded from annual subscriptions paid by members. The Australian Government, </w:t>
      </w:r>
      <w:r w:rsidR="00AA787F">
        <w:rPr>
          <w:rFonts w:eastAsia="Times New Roman"/>
          <w:szCs w:val="20"/>
          <w:lang w:val="en-GB"/>
        </w:rPr>
        <w:t>S</w:t>
      </w:r>
      <w:r w:rsidRPr="00BA7D06">
        <w:rPr>
          <w:rFonts w:eastAsia="Times New Roman"/>
          <w:szCs w:val="20"/>
          <w:lang w:val="en-GB"/>
        </w:rPr>
        <w:t xml:space="preserve">tate and </w:t>
      </w:r>
      <w:r w:rsidR="00AA787F">
        <w:rPr>
          <w:rFonts w:eastAsia="Times New Roman"/>
          <w:szCs w:val="20"/>
          <w:lang w:val="en-GB"/>
        </w:rPr>
        <w:t>T</w:t>
      </w:r>
      <w:r w:rsidRPr="00BA7D06">
        <w:rPr>
          <w:rFonts w:eastAsia="Times New Roman"/>
          <w:szCs w:val="20"/>
          <w:lang w:val="en-GB"/>
        </w:rPr>
        <w:t xml:space="preserve">erritory </w:t>
      </w:r>
      <w:r w:rsidR="00AA787F">
        <w:rPr>
          <w:rFonts w:eastAsia="Times New Roman"/>
          <w:szCs w:val="20"/>
          <w:lang w:val="en-GB"/>
        </w:rPr>
        <w:t>G</w:t>
      </w:r>
      <w:r w:rsidRPr="00BA7D06">
        <w:rPr>
          <w:rFonts w:eastAsia="Times New Roman"/>
          <w:szCs w:val="20"/>
          <w:lang w:val="en-GB"/>
        </w:rPr>
        <w:t>overnments and plant industry members each meet one third of the total annual membership subscription. This tri-partisan funding model ensures the independence of the company.</w:t>
      </w:r>
    </w:p>
    <w:p w14:paraId="63FAD9B3" w14:textId="4CF19D44" w:rsidR="00812915" w:rsidRPr="00BA7D06" w:rsidRDefault="00812915" w:rsidP="00156052">
      <w:pPr>
        <w:widowControl w:val="0"/>
        <w:autoSpaceDE w:val="0"/>
        <w:autoSpaceDN w:val="0"/>
        <w:spacing w:before="120" w:after="0" w:line="256" w:lineRule="auto"/>
        <w:rPr>
          <w:rFonts w:eastAsia="Times New Roman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 xml:space="preserve">In addition to subscription-funded activities, PHA undertakes separately funded projects for individual members or subsets of members. The main sources of non-subscription funding are Government grants (both Federal and State), Research and Development Corporations (RDCs), </w:t>
      </w:r>
      <w:r w:rsidR="00176376" w:rsidRPr="00BA7D06">
        <w:rPr>
          <w:rFonts w:eastAsia="Times New Roman"/>
          <w:szCs w:val="20"/>
          <w:lang w:val="en-GB"/>
        </w:rPr>
        <w:t xml:space="preserve">and </w:t>
      </w:r>
      <w:r w:rsidR="00156052">
        <w:rPr>
          <w:rFonts w:eastAsia="Times New Roman"/>
          <w:szCs w:val="20"/>
          <w:lang w:val="en-GB"/>
        </w:rPr>
        <w:t>S</w:t>
      </w:r>
      <w:r w:rsidRPr="00BA7D06">
        <w:rPr>
          <w:rFonts w:eastAsia="Times New Roman"/>
          <w:szCs w:val="20"/>
          <w:lang w:val="en-GB"/>
        </w:rPr>
        <w:t xml:space="preserve">tatutory </w:t>
      </w:r>
      <w:r w:rsidR="00156052">
        <w:rPr>
          <w:rFonts w:eastAsia="Times New Roman"/>
          <w:szCs w:val="20"/>
          <w:lang w:val="en-GB"/>
        </w:rPr>
        <w:t>L</w:t>
      </w:r>
      <w:r w:rsidRPr="00BA7D06">
        <w:rPr>
          <w:rFonts w:eastAsia="Times New Roman"/>
          <w:szCs w:val="20"/>
          <w:lang w:val="en-GB"/>
        </w:rPr>
        <w:t>evies.</w:t>
      </w:r>
    </w:p>
    <w:p w14:paraId="4CDF8ADE" w14:textId="35442ADA" w:rsidR="00812915" w:rsidRPr="00BA7D06" w:rsidRDefault="009F3DCF" w:rsidP="008A1792">
      <w:pPr>
        <w:spacing w:before="240" w:after="24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 xml:space="preserve">3.0 </w:t>
      </w:r>
      <w:r w:rsidRPr="00BA7D06">
        <w:rPr>
          <w:b/>
          <w:szCs w:val="20"/>
        </w:rPr>
        <w:t>BACKGROUND</w:t>
      </w:r>
    </w:p>
    <w:p w14:paraId="37AB343B" w14:textId="77777777" w:rsidR="004C3EBC" w:rsidRPr="004C3EBC" w:rsidRDefault="004C3EBC" w:rsidP="004C3EBC">
      <w:pPr>
        <w:spacing w:before="120"/>
        <w:jc w:val="both"/>
        <w:rPr>
          <w:szCs w:val="20"/>
        </w:rPr>
      </w:pPr>
      <w:r w:rsidRPr="004C3EBC">
        <w:rPr>
          <w:szCs w:val="20"/>
        </w:rPr>
        <w:t>Plant Health Australia Limited is a public company limited by guarantee, incorporated in Australia and domiciled in Australia.</w:t>
      </w:r>
    </w:p>
    <w:p w14:paraId="2A6F379E" w14:textId="77777777" w:rsidR="003B0425" w:rsidRPr="003B0425" w:rsidRDefault="003B0425" w:rsidP="003B0425">
      <w:pPr>
        <w:pStyle w:val="Default"/>
        <w:spacing w:before="120"/>
        <w:rPr>
          <w:rFonts w:ascii="Segoe UI" w:hAnsi="Segoe UI" w:cs="Segoe UI"/>
          <w:bCs/>
          <w:color w:val="auto"/>
          <w:sz w:val="20"/>
          <w:szCs w:val="20"/>
        </w:rPr>
      </w:pPr>
      <w:r w:rsidRPr="003B0425">
        <w:rPr>
          <w:rFonts w:ascii="Segoe UI" w:hAnsi="Segoe UI" w:cs="Segoe UI"/>
          <w:bCs/>
          <w:color w:val="auto"/>
          <w:sz w:val="20"/>
          <w:szCs w:val="20"/>
        </w:rPr>
        <w:t xml:space="preserve">The Company is a not for-profit, private sector entity which is not publicly accountable. Therefore, the financial statements of the Company are tier 2 general purpose financial statements which have been prepared in accordance with Australian Accounting Standards – Simplified Disclosures (AASB – RDRs) (including Australian Interpretations) adopted by the Australian Accounting Standards Board (AASB) and the </w:t>
      </w:r>
      <w:r w:rsidRPr="002D1CB2">
        <w:rPr>
          <w:rFonts w:ascii="Segoe UI" w:hAnsi="Segoe UI" w:cs="Segoe UI"/>
          <w:bCs/>
          <w:i/>
          <w:iCs/>
          <w:color w:val="auto"/>
          <w:sz w:val="20"/>
          <w:szCs w:val="20"/>
        </w:rPr>
        <w:t>Corporations Act 2001</w:t>
      </w:r>
      <w:r w:rsidRPr="003B0425">
        <w:rPr>
          <w:rFonts w:ascii="Segoe UI" w:hAnsi="Segoe UI" w:cs="Segoe UI"/>
          <w:bCs/>
          <w:color w:val="auto"/>
          <w:sz w:val="20"/>
          <w:szCs w:val="20"/>
        </w:rPr>
        <w:t xml:space="preserve">. </w:t>
      </w:r>
    </w:p>
    <w:p w14:paraId="7120183B" w14:textId="5AA1554E" w:rsidR="00812915" w:rsidRPr="00BA7D06" w:rsidRDefault="00812915" w:rsidP="00156052">
      <w:pPr>
        <w:spacing w:before="120" w:after="0"/>
        <w:rPr>
          <w:szCs w:val="20"/>
        </w:rPr>
      </w:pPr>
      <w:r w:rsidRPr="00BA7D06">
        <w:rPr>
          <w:szCs w:val="20"/>
        </w:rPr>
        <w:t>PHA strives for a system of corporate governance that allows the Board and management enough freedom to drive the organisation forward, with an effective framework of accountability.</w:t>
      </w:r>
    </w:p>
    <w:p w14:paraId="774E9494" w14:textId="70CDDA7A" w:rsidR="00812915" w:rsidRPr="00BA7D06" w:rsidRDefault="00812915" w:rsidP="00156052">
      <w:pPr>
        <w:spacing w:before="120" w:after="0"/>
        <w:rPr>
          <w:szCs w:val="20"/>
        </w:rPr>
      </w:pPr>
      <w:r w:rsidRPr="00BA7D06">
        <w:rPr>
          <w:szCs w:val="20"/>
        </w:rPr>
        <w:t xml:space="preserve">Responsibility for the operation and administration of the </w:t>
      </w:r>
      <w:r w:rsidR="00176376" w:rsidRPr="00BA7D06">
        <w:rPr>
          <w:szCs w:val="20"/>
        </w:rPr>
        <w:t>c</w:t>
      </w:r>
      <w:r w:rsidRPr="00BA7D06">
        <w:rPr>
          <w:szCs w:val="20"/>
        </w:rPr>
        <w:t xml:space="preserve">ompany is delegated by the Board to the CEO and the </w:t>
      </w:r>
      <w:r w:rsidR="00AA787F">
        <w:rPr>
          <w:szCs w:val="20"/>
        </w:rPr>
        <w:t>E</w:t>
      </w:r>
      <w:r w:rsidRPr="00BA7D06">
        <w:rPr>
          <w:szCs w:val="20"/>
        </w:rPr>
        <w:t xml:space="preserve">xecutive </w:t>
      </w:r>
      <w:r w:rsidR="00AA787F">
        <w:rPr>
          <w:szCs w:val="20"/>
        </w:rPr>
        <w:t>M</w:t>
      </w:r>
      <w:r w:rsidRPr="00BA7D06">
        <w:rPr>
          <w:szCs w:val="20"/>
        </w:rPr>
        <w:t xml:space="preserve">anagement </w:t>
      </w:r>
      <w:r w:rsidR="00AA787F">
        <w:rPr>
          <w:szCs w:val="20"/>
        </w:rPr>
        <w:t>T</w:t>
      </w:r>
      <w:r w:rsidRPr="00BA7D06">
        <w:rPr>
          <w:szCs w:val="20"/>
        </w:rPr>
        <w:t>eam.</w:t>
      </w:r>
    </w:p>
    <w:p w14:paraId="36C5AF13" w14:textId="75CA7CCF" w:rsidR="00A50D10" w:rsidRPr="00BA7D06" w:rsidRDefault="00A50D10" w:rsidP="00156052">
      <w:pPr>
        <w:spacing w:before="120" w:after="0"/>
        <w:rPr>
          <w:szCs w:val="20"/>
        </w:rPr>
      </w:pPr>
      <w:r w:rsidRPr="00BA7D06">
        <w:rPr>
          <w:szCs w:val="20"/>
        </w:rPr>
        <w:t>PHA maintains accounts and records of its transactions and affairs in accordance with accepted principles generally applied in commercial practice and with legislative requirements.</w:t>
      </w:r>
    </w:p>
    <w:p w14:paraId="30E77E62" w14:textId="77777777" w:rsidR="006D785C" w:rsidRDefault="006D785C">
      <w:pPr>
        <w:rPr>
          <w:b/>
          <w:bCs w:val="0"/>
          <w:szCs w:val="20"/>
        </w:rPr>
      </w:pPr>
      <w:r>
        <w:rPr>
          <w:b/>
          <w:bCs w:val="0"/>
          <w:szCs w:val="20"/>
        </w:rPr>
        <w:br w:type="page"/>
      </w:r>
    </w:p>
    <w:p w14:paraId="13FF441E" w14:textId="050877C5" w:rsidR="00A32AC3" w:rsidRPr="00BA7D06" w:rsidRDefault="00A32AC3" w:rsidP="00A32AC3">
      <w:pPr>
        <w:spacing w:before="240" w:after="24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lastRenderedPageBreak/>
        <w:t>4.0</w:t>
      </w:r>
      <w:r w:rsidRPr="00BA7D06">
        <w:rPr>
          <w:b/>
          <w:szCs w:val="20"/>
        </w:rPr>
        <w:t xml:space="preserve"> ABOUT THIS TENDER</w:t>
      </w:r>
    </w:p>
    <w:p w14:paraId="42E4DCA2" w14:textId="45F754EB" w:rsidR="00A32AC3" w:rsidRPr="00BA7D06" w:rsidRDefault="00A50D10" w:rsidP="00BA7D06">
      <w:pPr>
        <w:tabs>
          <w:tab w:val="left" w:pos="1636"/>
        </w:tabs>
        <w:spacing w:before="240" w:after="24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4</w:t>
      </w:r>
      <w:r w:rsidR="00A32AC3" w:rsidRPr="00BA7D06">
        <w:rPr>
          <w:b/>
          <w:bCs w:val="0"/>
          <w:szCs w:val="20"/>
        </w:rPr>
        <w:t xml:space="preserve">.1 </w:t>
      </w:r>
      <w:r w:rsidRPr="00BA7D06">
        <w:rPr>
          <w:b/>
          <w:bCs w:val="0"/>
          <w:szCs w:val="20"/>
        </w:rPr>
        <w:t>Outline</w:t>
      </w:r>
      <w:r w:rsidR="00BA7D06">
        <w:rPr>
          <w:b/>
          <w:bCs w:val="0"/>
          <w:szCs w:val="20"/>
        </w:rPr>
        <w:tab/>
      </w:r>
    </w:p>
    <w:p w14:paraId="6B8C962C" w14:textId="733477C0" w:rsidR="00EC4F30" w:rsidRDefault="00EC4F30" w:rsidP="00EC4F30">
      <w:pPr>
        <w:rPr>
          <w:szCs w:val="20"/>
          <w:lang w:val="en-GB"/>
        </w:rPr>
      </w:pPr>
      <w:r>
        <w:rPr>
          <w:szCs w:val="20"/>
          <w:lang w:val="en-GB"/>
        </w:rPr>
        <w:t xml:space="preserve">The aim of this </w:t>
      </w:r>
      <w:r w:rsidR="00981AB6">
        <w:rPr>
          <w:szCs w:val="20"/>
          <w:lang w:val="en-GB"/>
        </w:rPr>
        <w:t>internal audit is to r</w:t>
      </w:r>
      <w:r>
        <w:rPr>
          <w:szCs w:val="20"/>
          <w:lang w:val="en-GB"/>
        </w:rPr>
        <w:t>eview the adequacy of Business Continuity and Disaster Recovery Plans and associated arrangements to ensure these can be successfully and effectively deployed in the event of a business continuity event or disaster.</w:t>
      </w:r>
    </w:p>
    <w:p w14:paraId="7712703F" w14:textId="7B28DDF7" w:rsidR="00A50D10" w:rsidRPr="00BA7D06" w:rsidRDefault="00A50D10" w:rsidP="00A50D10">
      <w:pPr>
        <w:spacing w:before="240" w:after="24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4.2 Invitation</w:t>
      </w:r>
    </w:p>
    <w:p w14:paraId="1B808877" w14:textId="116CBFEA" w:rsidR="00A32AC3" w:rsidRPr="00BA7D06" w:rsidRDefault="00981AB6" w:rsidP="00A32AC3">
      <w:pPr>
        <w:spacing w:after="0"/>
        <w:rPr>
          <w:szCs w:val="20"/>
        </w:rPr>
      </w:pPr>
      <w:r>
        <w:rPr>
          <w:szCs w:val="20"/>
        </w:rPr>
        <w:t>We</w:t>
      </w:r>
      <w:r w:rsidR="00A32AC3" w:rsidRPr="00BA7D06">
        <w:rPr>
          <w:szCs w:val="20"/>
        </w:rPr>
        <w:t xml:space="preserve"> invite tenders for the provision of internal audit services during the first </w:t>
      </w:r>
      <w:r>
        <w:rPr>
          <w:szCs w:val="20"/>
        </w:rPr>
        <w:t>quarter</w:t>
      </w:r>
      <w:r w:rsidR="00A32AC3" w:rsidRPr="00BA7D06">
        <w:rPr>
          <w:szCs w:val="20"/>
        </w:rPr>
        <w:t xml:space="preserve"> of the 202</w:t>
      </w:r>
      <w:r>
        <w:rPr>
          <w:szCs w:val="20"/>
        </w:rPr>
        <w:t>3</w:t>
      </w:r>
      <w:r w:rsidR="00A32AC3" w:rsidRPr="00BA7D06">
        <w:rPr>
          <w:szCs w:val="20"/>
        </w:rPr>
        <w:t xml:space="preserve"> </w:t>
      </w:r>
      <w:r w:rsidR="00926EB9">
        <w:rPr>
          <w:szCs w:val="20"/>
        </w:rPr>
        <w:t>calendar</w:t>
      </w:r>
      <w:r w:rsidR="00A32AC3" w:rsidRPr="00BA7D06">
        <w:rPr>
          <w:szCs w:val="20"/>
        </w:rPr>
        <w:t xml:space="preserve"> year.</w:t>
      </w:r>
    </w:p>
    <w:p w14:paraId="2D00011E" w14:textId="77777777" w:rsidR="00A32AC3" w:rsidRPr="00BA7D06" w:rsidRDefault="00A32AC3" w:rsidP="00A32AC3">
      <w:pPr>
        <w:spacing w:before="120" w:after="0" w:line="276" w:lineRule="auto"/>
        <w:rPr>
          <w:szCs w:val="20"/>
        </w:rPr>
      </w:pPr>
      <w:r w:rsidRPr="00BA7D06">
        <w:rPr>
          <w:szCs w:val="20"/>
        </w:rPr>
        <w:t>The objectives for this tender process are to:</w:t>
      </w:r>
    </w:p>
    <w:p w14:paraId="7437A51A" w14:textId="3520FECC" w:rsidR="00A32AC3" w:rsidRPr="00BA7D06" w:rsidRDefault="00A32AC3" w:rsidP="00A32AC3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secure a high-quality provider of this internal audit service</w:t>
      </w:r>
    </w:p>
    <w:p w14:paraId="5EB1F38A" w14:textId="5E71D71B" w:rsidR="00A32AC3" w:rsidRPr="00BA7D06" w:rsidRDefault="00A32AC3" w:rsidP="00A32AC3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appoint an auditor who will provide high standards of professional service and value </w:t>
      </w:r>
    </w:p>
    <w:p w14:paraId="1BAE8B37" w14:textId="31B51426" w:rsidR="00A32AC3" w:rsidRPr="00BA7D06" w:rsidRDefault="00A32AC3" w:rsidP="00A32AC3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appoint an auditor who will provide </w:t>
      </w:r>
      <w:r w:rsidR="0031160B" w:rsidRPr="00BA7D06">
        <w:rPr>
          <w:rFonts w:ascii="Segoe UI" w:hAnsi="Segoe UI" w:cs="Segoe UI"/>
          <w:sz w:val="20"/>
          <w:szCs w:val="20"/>
        </w:rPr>
        <w:t>practical</w:t>
      </w:r>
      <w:r w:rsidR="0031160B">
        <w:rPr>
          <w:rFonts w:ascii="Segoe UI" w:hAnsi="Segoe UI" w:cs="Segoe UI"/>
          <w:sz w:val="20"/>
          <w:szCs w:val="20"/>
        </w:rPr>
        <w:t xml:space="preserve"> and relevant</w:t>
      </w:r>
      <w:r w:rsidRPr="00BA7D06">
        <w:rPr>
          <w:rFonts w:ascii="Segoe UI" w:hAnsi="Segoe UI" w:cs="Segoe UI"/>
          <w:sz w:val="20"/>
          <w:szCs w:val="20"/>
        </w:rPr>
        <w:t xml:space="preserve"> recommendations that will lead to improved systems and controls at PHA</w:t>
      </w:r>
      <w:r w:rsidR="0031160B">
        <w:rPr>
          <w:rFonts w:ascii="Segoe UI" w:hAnsi="Segoe UI" w:cs="Segoe UI"/>
          <w:sz w:val="20"/>
          <w:szCs w:val="20"/>
        </w:rPr>
        <w:t>.</w:t>
      </w:r>
    </w:p>
    <w:p w14:paraId="6BD8E346" w14:textId="57A4A937" w:rsidR="00A32AC3" w:rsidRPr="00BA7D06" w:rsidRDefault="00A32AC3" w:rsidP="00A32AC3">
      <w:pPr>
        <w:spacing w:before="120" w:after="0" w:line="276" w:lineRule="auto"/>
        <w:rPr>
          <w:szCs w:val="20"/>
        </w:rPr>
      </w:pPr>
      <w:r w:rsidRPr="00BA7D06">
        <w:rPr>
          <w:szCs w:val="20"/>
        </w:rPr>
        <w:t>The audit services will include, but will not be limited to:</w:t>
      </w:r>
    </w:p>
    <w:p w14:paraId="09D5BF6A" w14:textId="2C697357" w:rsidR="009F5C55" w:rsidRPr="00AE3765" w:rsidRDefault="009F5C55" w:rsidP="009F5C55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AE3765">
        <w:rPr>
          <w:rFonts w:ascii="Segoe UI" w:hAnsi="Segoe UI" w:cs="Segoe UI"/>
          <w:sz w:val="20"/>
          <w:szCs w:val="20"/>
        </w:rPr>
        <w:t xml:space="preserve">provide opinion on whether </w:t>
      </w:r>
      <w:r>
        <w:rPr>
          <w:rFonts w:ascii="Segoe UI" w:hAnsi="Segoe UI" w:cs="Segoe UI"/>
          <w:sz w:val="20"/>
          <w:szCs w:val="20"/>
        </w:rPr>
        <w:t>PHA</w:t>
      </w:r>
      <w:r w:rsidRPr="00AE3765">
        <w:rPr>
          <w:rFonts w:ascii="Segoe UI" w:hAnsi="Segoe UI" w:cs="Segoe UI"/>
          <w:sz w:val="20"/>
          <w:szCs w:val="20"/>
        </w:rPr>
        <w:t xml:space="preserve"> has implemented disaster recovery plans and detailed recovery procedures for all key business systems, including documented roles and responsibilities and clear communication plans</w:t>
      </w:r>
    </w:p>
    <w:p w14:paraId="681D0BDD" w14:textId="3C2720F7" w:rsidR="009F5C55" w:rsidRDefault="009F5C55" w:rsidP="009F5C55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AE3765">
        <w:rPr>
          <w:rFonts w:ascii="Segoe UI" w:hAnsi="Segoe UI" w:cs="Segoe UI"/>
          <w:sz w:val="20"/>
          <w:szCs w:val="20"/>
        </w:rPr>
        <w:t>assess the adequa</w:t>
      </w:r>
      <w:r w:rsidR="004C74FF">
        <w:rPr>
          <w:rFonts w:ascii="Segoe UI" w:hAnsi="Segoe UI" w:cs="Segoe UI"/>
          <w:sz w:val="20"/>
          <w:szCs w:val="20"/>
        </w:rPr>
        <w:t>cy</w:t>
      </w:r>
      <w:r w:rsidRPr="00AE3765">
        <w:rPr>
          <w:rFonts w:ascii="Segoe UI" w:hAnsi="Segoe UI" w:cs="Segoe UI"/>
          <w:sz w:val="20"/>
          <w:szCs w:val="20"/>
        </w:rPr>
        <w:t xml:space="preserve"> and effective</w:t>
      </w:r>
      <w:r w:rsidR="004C74FF">
        <w:rPr>
          <w:rFonts w:ascii="Segoe UI" w:hAnsi="Segoe UI" w:cs="Segoe UI"/>
          <w:sz w:val="20"/>
          <w:szCs w:val="20"/>
        </w:rPr>
        <w:t>ness</w:t>
      </w:r>
      <w:r w:rsidR="006C03A0">
        <w:rPr>
          <w:rFonts w:ascii="Segoe UI" w:hAnsi="Segoe UI" w:cs="Segoe UI"/>
          <w:sz w:val="20"/>
          <w:szCs w:val="20"/>
        </w:rPr>
        <w:t xml:space="preserve"> of existing plans</w:t>
      </w:r>
      <w:r w:rsidRPr="00AE3765">
        <w:rPr>
          <w:rFonts w:ascii="Segoe UI" w:hAnsi="Segoe UI" w:cs="Segoe UI"/>
          <w:sz w:val="20"/>
          <w:szCs w:val="20"/>
        </w:rPr>
        <w:t xml:space="preserve"> to support the prompt recovery of crucial enterprise functions and Information Technology (IT) facilities in the event of major failure or disaster</w:t>
      </w:r>
    </w:p>
    <w:p w14:paraId="60FE8052" w14:textId="712AEC73" w:rsidR="000815E7" w:rsidRDefault="000815E7" w:rsidP="000815E7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determine whether </w:t>
      </w:r>
      <w:r>
        <w:rPr>
          <w:rFonts w:ascii="Segoe UI" w:hAnsi="Segoe UI" w:cs="Segoe UI"/>
          <w:sz w:val="20"/>
          <w:szCs w:val="20"/>
        </w:rPr>
        <w:t>current</w:t>
      </w:r>
      <w:r w:rsidRPr="00BA7D06">
        <w:rPr>
          <w:rFonts w:ascii="Segoe UI" w:hAnsi="Segoe UI" w:cs="Segoe UI"/>
          <w:sz w:val="20"/>
          <w:szCs w:val="20"/>
        </w:rPr>
        <w:t xml:space="preserve"> systems work economically and efficiently</w:t>
      </w:r>
    </w:p>
    <w:p w14:paraId="3DD5F71F" w14:textId="4C01AD58" w:rsidR="00C85A6D" w:rsidRPr="00C85A6D" w:rsidRDefault="0066276A" w:rsidP="004109FC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lang w:val="en-US"/>
        </w:rPr>
        <w:t>e</w:t>
      </w:r>
      <w:r w:rsidR="00C85A6D">
        <w:rPr>
          <w:rFonts w:ascii="Segoe UI" w:hAnsi="Segoe UI" w:cs="Segoe UI"/>
          <w:sz w:val="20"/>
          <w:lang w:val="en-US"/>
        </w:rPr>
        <w:t xml:space="preserve">valuate the </w:t>
      </w:r>
      <w:r>
        <w:rPr>
          <w:rFonts w:ascii="Segoe UI" w:hAnsi="Segoe UI" w:cs="Segoe UI"/>
          <w:sz w:val="20"/>
          <w:lang w:val="en-US"/>
        </w:rPr>
        <w:t xml:space="preserve">performance of PHA’s </w:t>
      </w:r>
      <w:r w:rsidR="001E4AF2">
        <w:rPr>
          <w:rFonts w:ascii="Segoe UI" w:hAnsi="Segoe UI" w:cs="Segoe UI"/>
          <w:sz w:val="20"/>
          <w:lang w:val="en-US"/>
        </w:rPr>
        <w:t xml:space="preserve">business </w:t>
      </w:r>
      <w:r>
        <w:rPr>
          <w:rFonts w:ascii="Segoe UI" w:hAnsi="Segoe UI" w:cs="Segoe UI"/>
          <w:sz w:val="20"/>
          <w:lang w:val="en-US"/>
        </w:rPr>
        <w:t>continuity plan</w:t>
      </w:r>
      <w:r w:rsidR="001E4AF2">
        <w:rPr>
          <w:rFonts w:ascii="Segoe UI" w:hAnsi="Segoe UI" w:cs="Segoe UI"/>
          <w:sz w:val="20"/>
          <w:lang w:val="en-US"/>
        </w:rPr>
        <w:t>s</w:t>
      </w:r>
      <w:r>
        <w:rPr>
          <w:rFonts w:ascii="Segoe UI" w:hAnsi="Segoe UI" w:cs="Segoe UI"/>
          <w:sz w:val="20"/>
          <w:lang w:val="en-US"/>
        </w:rPr>
        <w:t xml:space="preserve"> </w:t>
      </w:r>
      <w:r w:rsidR="007B6C1E">
        <w:rPr>
          <w:rFonts w:ascii="Segoe UI" w:hAnsi="Segoe UI" w:cs="Segoe UI"/>
          <w:sz w:val="20"/>
          <w:lang w:val="en-US"/>
        </w:rPr>
        <w:t xml:space="preserve">during the </w:t>
      </w:r>
      <w:r w:rsidR="00C85A6D">
        <w:rPr>
          <w:rFonts w:ascii="Segoe UI" w:hAnsi="Segoe UI" w:cs="Segoe UI"/>
          <w:sz w:val="20"/>
          <w:lang w:val="en-US"/>
        </w:rPr>
        <w:t xml:space="preserve">COVID 19 </w:t>
      </w:r>
      <w:r w:rsidR="007B6C1E">
        <w:rPr>
          <w:rFonts w:ascii="Segoe UI" w:hAnsi="Segoe UI" w:cs="Segoe UI"/>
          <w:sz w:val="20"/>
          <w:lang w:val="en-US"/>
        </w:rPr>
        <w:t xml:space="preserve">pandemic </w:t>
      </w:r>
      <w:r w:rsidR="00C85A6D">
        <w:rPr>
          <w:rFonts w:ascii="Segoe UI" w:hAnsi="Segoe UI" w:cs="Segoe UI"/>
          <w:sz w:val="20"/>
          <w:lang w:val="en-US"/>
        </w:rPr>
        <w:t xml:space="preserve">as </w:t>
      </w:r>
      <w:r w:rsidR="00B8223C">
        <w:rPr>
          <w:rFonts w:ascii="Segoe UI" w:hAnsi="Segoe UI" w:cs="Segoe UI"/>
          <w:sz w:val="20"/>
          <w:lang w:val="en-US"/>
        </w:rPr>
        <w:t xml:space="preserve">a </w:t>
      </w:r>
      <w:r w:rsidR="00C85A6D">
        <w:rPr>
          <w:rFonts w:ascii="Segoe UI" w:hAnsi="Segoe UI" w:cs="Segoe UI"/>
          <w:sz w:val="20"/>
          <w:lang w:val="en-US"/>
        </w:rPr>
        <w:t xml:space="preserve">recent test of </w:t>
      </w:r>
      <w:r w:rsidR="001E4AF2">
        <w:rPr>
          <w:rFonts w:ascii="Segoe UI" w:hAnsi="Segoe UI" w:cs="Segoe UI"/>
          <w:sz w:val="20"/>
          <w:lang w:val="en-US"/>
        </w:rPr>
        <w:t>our</w:t>
      </w:r>
      <w:r w:rsidR="007B6C1E">
        <w:rPr>
          <w:rFonts w:ascii="Segoe UI" w:hAnsi="Segoe UI" w:cs="Segoe UI"/>
          <w:sz w:val="20"/>
          <w:lang w:val="en-US"/>
        </w:rPr>
        <w:t xml:space="preserve"> plans</w:t>
      </w:r>
    </w:p>
    <w:p w14:paraId="5AB93542" w14:textId="65425C25" w:rsidR="004109FC" w:rsidRDefault="004109FC" w:rsidP="004109FC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AE3765">
        <w:rPr>
          <w:rFonts w:ascii="Segoe UI" w:hAnsi="Segoe UI" w:cs="Segoe UI"/>
          <w:sz w:val="20"/>
          <w:szCs w:val="20"/>
        </w:rPr>
        <w:t xml:space="preserve">evaluate whether </w:t>
      </w:r>
      <w:r>
        <w:rPr>
          <w:rFonts w:ascii="Segoe UI" w:hAnsi="Segoe UI" w:cs="Segoe UI"/>
          <w:sz w:val="20"/>
          <w:szCs w:val="20"/>
        </w:rPr>
        <w:t>PHA</w:t>
      </w:r>
      <w:r w:rsidRPr="00AE3765">
        <w:rPr>
          <w:rFonts w:ascii="Segoe UI" w:hAnsi="Segoe UI" w:cs="Segoe UI"/>
          <w:sz w:val="20"/>
          <w:szCs w:val="20"/>
        </w:rPr>
        <w:t xml:space="preserve"> has assessed their IT skillsets to effectively conduct disaster recovery activities</w:t>
      </w:r>
    </w:p>
    <w:p w14:paraId="4C151A33" w14:textId="42C6A37B" w:rsidR="00E629A9" w:rsidRDefault="00E629A9" w:rsidP="00E629A9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evaluat</w:t>
      </w:r>
      <w:r>
        <w:rPr>
          <w:rFonts w:ascii="Segoe UI" w:hAnsi="Segoe UI" w:cs="Segoe UI"/>
          <w:sz w:val="20"/>
          <w:szCs w:val="20"/>
        </w:rPr>
        <w:t>e</w:t>
      </w:r>
      <w:r w:rsidRPr="00BA7D06">
        <w:rPr>
          <w:rFonts w:ascii="Segoe UI" w:hAnsi="Segoe UI" w:cs="Segoe UI"/>
          <w:sz w:val="20"/>
          <w:szCs w:val="20"/>
        </w:rPr>
        <w:t xml:space="preserve"> the effectiveness and efficiency of internal control</w:t>
      </w:r>
      <w:r>
        <w:rPr>
          <w:rFonts w:ascii="Segoe UI" w:hAnsi="Segoe UI" w:cs="Segoe UI"/>
          <w:sz w:val="20"/>
          <w:szCs w:val="20"/>
        </w:rPr>
        <w:t xml:space="preserve">s currently in place </w:t>
      </w:r>
      <w:r w:rsidRPr="00BA7D06">
        <w:rPr>
          <w:rFonts w:ascii="Segoe UI" w:hAnsi="Segoe UI" w:cs="Segoe UI"/>
          <w:sz w:val="20"/>
          <w:szCs w:val="20"/>
        </w:rPr>
        <w:t>and identify opportunities to enhance systems</w:t>
      </w:r>
      <w:r w:rsidR="00710DC6">
        <w:rPr>
          <w:rFonts w:ascii="Segoe UI" w:hAnsi="Segoe UI" w:cs="Segoe UI"/>
          <w:sz w:val="20"/>
          <w:szCs w:val="20"/>
        </w:rPr>
        <w:t xml:space="preserve"> and processes</w:t>
      </w:r>
    </w:p>
    <w:p w14:paraId="4202416B" w14:textId="77777777" w:rsidR="00E75BD4" w:rsidRDefault="00E75BD4" w:rsidP="00E75BD4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fully describe any weakness or deficiencies, including possible reasons and frequency of occurrence and potential consequences or ramifications</w:t>
      </w:r>
    </w:p>
    <w:p w14:paraId="6B948075" w14:textId="77777777" w:rsidR="00E75BD4" w:rsidRPr="00F56CEB" w:rsidRDefault="00E75BD4" w:rsidP="00E75BD4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provide recommendations and suggestions to assist management improve systems as efficiently as possible whilst retaining an adequate control environment</w:t>
      </w:r>
    </w:p>
    <w:p w14:paraId="0BFCF96C" w14:textId="580F276F" w:rsidR="009F5C55" w:rsidRPr="00AE3765" w:rsidRDefault="009F5C55" w:rsidP="009F5C55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AE3765">
        <w:rPr>
          <w:rFonts w:ascii="Segoe UI" w:hAnsi="Segoe UI" w:cs="Segoe UI"/>
          <w:sz w:val="20"/>
          <w:szCs w:val="20"/>
        </w:rPr>
        <w:t xml:space="preserve">provide opinions on whether </w:t>
      </w:r>
      <w:r w:rsidR="00717254">
        <w:rPr>
          <w:rFonts w:ascii="Segoe UI" w:hAnsi="Segoe UI" w:cs="Segoe UI"/>
          <w:sz w:val="20"/>
          <w:szCs w:val="20"/>
        </w:rPr>
        <w:t>PHA</w:t>
      </w:r>
      <w:r w:rsidRPr="00AE3765">
        <w:rPr>
          <w:rFonts w:ascii="Segoe UI" w:hAnsi="Segoe UI" w:cs="Segoe UI"/>
          <w:sz w:val="20"/>
          <w:szCs w:val="20"/>
        </w:rPr>
        <w:t xml:space="preserve"> has identified, assessed and </w:t>
      </w:r>
      <w:r w:rsidR="00E2230D">
        <w:rPr>
          <w:rFonts w:ascii="Segoe UI" w:hAnsi="Segoe UI" w:cs="Segoe UI"/>
          <w:sz w:val="20"/>
          <w:szCs w:val="20"/>
        </w:rPr>
        <w:t>considered all</w:t>
      </w:r>
      <w:r w:rsidRPr="00AE3765">
        <w:rPr>
          <w:rFonts w:ascii="Segoe UI" w:hAnsi="Segoe UI" w:cs="Segoe UI"/>
          <w:sz w:val="20"/>
          <w:szCs w:val="20"/>
        </w:rPr>
        <w:t xml:space="preserve"> disaster recovery</w:t>
      </w:r>
      <w:r w:rsidR="00CE7BEF">
        <w:rPr>
          <w:rFonts w:ascii="Segoe UI" w:hAnsi="Segoe UI" w:cs="Segoe UI"/>
          <w:sz w:val="20"/>
          <w:szCs w:val="20"/>
        </w:rPr>
        <w:t xml:space="preserve"> and business continuity </w:t>
      </w:r>
      <w:r w:rsidRPr="00AE3765">
        <w:rPr>
          <w:rFonts w:ascii="Segoe UI" w:hAnsi="Segoe UI" w:cs="Segoe UI"/>
          <w:sz w:val="20"/>
          <w:szCs w:val="20"/>
        </w:rPr>
        <w:t>related risks</w:t>
      </w:r>
    </w:p>
    <w:p w14:paraId="386610E4" w14:textId="27C80BA5" w:rsidR="00086567" w:rsidRPr="00FD6585" w:rsidRDefault="009F5C55" w:rsidP="00FA6BE3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FD6585">
        <w:rPr>
          <w:rFonts w:ascii="Segoe UI" w:hAnsi="Segoe UI" w:cs="Segoe UI"/>
          <w:sz w:val="20"/>
          <w:szCs w:val="20"/>
        </w:rPr>
        <w:t xml:space="preserve">report on best practices in comparison with our current </w:t>
      </w:r>
      <w:r w:rsidR="00FD6585" w:rsidRPr="00FD6585">
        <w:rPr>
          <w:rFonts w:ascii="Segoe UI" w:hAnsi="Segoe UI" w:cs="Segoe UI"/>
          <w:sz w:val="20"/>
          <w:szCs w:val="20"/>
        </w:rPr>
        <w:t>business continuity and disaster recovery plans</w:t>
      </w:r>
    </w:p>
    <w:p w14:paraId="5CC4548E" w14:textId="4E10E668" w:rsidR="00A32AC3" w:rsidRPr="00BA7D06" w:rsidRDefault="00A32AC3" w:rsidP="00A32AC3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report on compliance with</w:t>
      </w:r>
      <w:r w:rsidR="008A1792">
        <w:rPr>
          <w:rFonts w:ascii="Segoe UI" w:hAnsi="Segoe UI" w:cs="Segoe UI"/>
          <w:sz w:val="20"/>
          <w:szCs w:val="20"/>
        </w:rPr>
        <w:t xml:space="preserve"> all</w:t>
      </w:r>
      <w:r w:rsidRPr="00BA7D06">
        <w:rPr>
          <w:rFonts w:ascii="Segoe UI" w:hAnsi="Segoe UI" w:cs="Segoe UI"/>
          <w:sz w:val="20"/>
          <w:szCs w:val="20"/>
        </w:rPr>
        <w:t xml:space="preserve"> </w:t>
      </w:r>
      <w:r w:rsidR="00B40DCF" w:rsidRPr="00BA7D06">
        <w:rPr>
          <w:rFonts w:ascii="Segoe UI" w:hAnsi="Segoe UI" w:cs="Segoe UI"/>
          <w:sz w:val="20"/>
          <w:szCs w:val="20"/>
        </w:rPr>
        <w:t>legal obligations</w:t>
      </w:r>
    </w:p>
    <w:p w14:paraId="03F36D10" w14:textId="2486D7CC" w:rsidR="00A32AC3" w:rsidRPr="00BA7D06" w:rsidRDefault="00A32AC3" w:rsidP="00A32AC3">
      <w:pPr>
        <w:pStyle w:val="ListParagraph"/>
        <w:numPr>
          <w:ilvl w:val="0"/>
          <w:numId w:val="6"/>
        </w:numPr>
        <w:spacing w:line="276" w:lineRule="auto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provide recommendations and suggestions to assist management improve </w:t>
      </w:r>
      <w:r w:rsidR="003F59C9" w:rsidRPr="00BA7D06">
        <w:rPr>
          <w:rFonts w:ascii="Segoe UI" w:hAnsi="Segoe UI" w:cs="Segoe UI"/>
          <w:sz w:val="20"/>
          <w:szCs w:val="20"/>
        </w:rPr>
        <w:t>systems</w:t>
      </w:r>
      <w:r w:rsidR="000D5C9F">
        <w:rPr>
          <w:rFonts w:ascii="Segoe UI" w:hAnsi="Segoe UI" w:cs="Segoe UI"/>
          <w:sz w:val="20"/>
          <w:szCs w:val="20"/>
        </w:rPr>
        <w:t xml:space="preserve"> and controls</w:t>
      </w:r>
      <w:r w:rsidR="003F59C9" w:rsidRPr="00BA7D06">
        <w:rPr>
          <w:rFonts w:ascii="Segoe UI" w:hAnsi="Segoe UI" w:cs="Segoe UI"/>
          <w:sz w:val="20"/>
          <w:szCs w:val="20"/>
        </w:rPr>
        <w:t xml:space="preserve"> </w:t>
      </w:r>
      <w:r w:rsidRPr="00BA7D06">
        <w:rPr>
          <w:rFonts w:ascii="Segoe UI" w:hAnsi="Segoe UI" w:cs="Segoe UI"/>
          <w:sz w:val="20"/>
          <w:szCs w:val="20"/>
        </w:rPr>
        <w:t>as efficiently as possible</w:t>
      </w:r>
      <w:r w:rsidR="000D5C9F">
        <w:rPr>
          <w:rFonts w:ascii="Segoe UI" w:hAnsi="Segoe UI" w:cs="Segoe UI"/>
          <w:sz w:val="20"/>
          <w:szCs w:val="20"/>
        </w:rPr>
        <w:t>.</w:t>
      </w:r>
    </w:p>
    <w:p w14:paraId="4A252F97" w14:textId="7CD0EDE4" w:rsidR="00A32AC3" w:rsidRPr="00BA7D06" w:rsidRDefault="0031160B" w:rsidP="00A32AC3">
      <w:pPr>
        <w:spacing w:before="240" w:after="240"/>
        <w:rPr>
          <w:b/>
          <w:bCs w:val="0"/>
          <w:szCs w:val="20"/>
        </w:rPr>
      </w:pPr>
      <w:r>
        <w:rPr>
          <w:b/>
          <w:bCs w:val="0"/>
          <w:szCs w:val="20"/>
        </w:rPr>
        <w:t>5</w:t>
      </w:r>
      <w:r w:rsidR="00A32AC3" w:rsidRPr="00BA7D06">
        <w:rPr>
          <w:b/>
          <w:bCs w:val="0"/>
          <w:szCs w:val="20"/>
        </w:rPr>
        <w:t>.</w:t>
      </w:r>
      <w:r>
        <w:rPr>
          <w:b/>
          <w:bCs w:val="0"/>
          <w:szCs w:val="20"/>
        </w:rPr>
        <w:t>0</w:t>
      </w:r>
      <w:r w:rsidR="00A32AC3" w:rsidRPr="0031160B">
        <w:rPr>
          <w:b/>
          <w:bCs w:val="0"/>
          <w:szCs w:val="20"/>
        </w:rPr>
        <w:t xml:space="preserve"> </w:t>
      </w:r>
      <w:r w:rsidRPr="0031160B">
        <w:rPr>
          <w:b/>
          <w:bCs w:val="0"/>
          <w:szCs w:val="20"/>
        </w:rPr>
        <w:t>INSTRUCTIONS TO TENDERERS</w:t>
      </w:r>
    </w:p>
    <w:p w14:paraId="0C536C95" w14:textId="656C2027" w:rsidR="008C28C9" w:rsidRDefault="008C28C9" w:rsidP="008C28C9">
      <w:pPr>
        <w:spacing w:before="240" w:after="240"/>
        <w:ind w:right="283"/>
        <w:jc w:val="both"/>
        <w:rPr>
          <w:b/>
          <w:szCs w:val="20"/>
        </w:rPr>
      </w:pPr>
      <w:r>
        <w:rPr>
          <w:b/>
          <w:szCs w:val="20"/>
        </w:rPr>
        <w:t xml:space="preserve">5.1 </w:t>
      </w:r>
      <w:r w:rsidRPr="00BA7D06">
        <w:rPr>
          <w:b/>
          <w:szCs w:val="20"/>
        </w:rPr>
        <w:t>Requirements for Tender of Internal Audit Function</w:t>
      </w:r>
    </w:p>
    <w:p w14:paraId="56CD302D" w14:textId="501DB2B3" w:rsidR="0003414A" w:rsidRPr="00BA7D06" w:rsidRDefault="0003414A" w:rsidP="0003414A">
      <w:pPr>
        <w:spacing w:before="120" w:after="0"/>
        <w:rPr>
          <w:szCs w:val="20"/>
        </w:rPr>
      </w:pPr>
      <w:r w:rsidRPr="00BA7D06">
        <w:rPr>
          <w:szCs w:val="20"/>
        </w:rPr>
        <w:t xml:space="preserve">The </w:t>
      </w:r>
      <w:r>
        <w:rPr>
          <w:szCs w:val="20"/>
        </w:rPr>
        <w:t>internal</w:t>
      </w:r>
      <w:r w:rsidRPr="00BA7D06">
        <w:rPr>
          <w:szCs w:val="20"/>
        </w:rPr>
        <w:t xml:space="preserve"> audit firm is expected to appoint a partner to oversee the audit and meet with </w:t>
      </w:r>
      <w:r>
        <w:rPr>
          <w:szCs w:val="20"/>
        </w:rPr>
        <w:t>PHA management</w:t>
      </w:r>
      <w:r w:rsidRPr="00BA7D06">
        <w:rPr>
          <w:szCs w:val="20"/>
        </w:rPr>
        <w:t xml:space="preserve"> as required. </w:t>
      </w:r>
      <w:r>
        <w:rPr>
          <w:szCs w:val="20"/>
        </w:rPr>
        <w:t>Additional</w:t>
      </w:r>
      <w:r w:rsidRPr="00BA7D06">
        <w:rPr>
          <w:szCs w:val="20"/>
        </w:rPr>
        <w:t xml:space="preserve"> information to be included in the Tender is presented at </w:t>
      </w:r>
      <w:r w:rsidRPr="00027E96">
        <w:rPr>
          <w:szCs w:val="20"/>
        </w:rPr>
        <w:t>Schedule 1.</w:t>
      </w:r>
    </w:p>
    <w:p w14:paraId="001A6C3C" w14:textId="18BE1AFA" w:rsidR="0003414A" w:rsidRPr="0003414A" w:rsidRDefault="0003414A" w:rsidP="0003414A">
      <w:pPr>
        <w:tabs>
          <w:tab w:val="left" w:pos="435"/>
        </w:tabs>
        <w:rPr>
          <w:szCs w:val="20"/>
        </w:rPr>
      </w:pPr>
    </w:p>
    <w:p w14:paraId="0F9FA227" w14:textId="704332D6" w:rsidR="00A32AC3" w:rsidRPr="00BA7D06" w:rsidRDefault="00A32AC3" w:rsidP="00A32AC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 xml:space="preserve">Tenders must detail the applicant’s internal audit capability (including skills and experience), personnel to be involved including </w:t>
      </w:r>
      <w:r w:rsidR="0003414A">
        <w:rPr>
          <w:rFonts w:eastAsia="Times New Roman"/>
          <w:szCs w:val="20"/>
          <w:lang w:val="en-GB"/>
        </w:rPr>
        <w:t>qualifications</w:t>
      </w:r>
      <w:r w:rsidRPr="00BA7D06">
        <w:rPr>
          <w:rFonts w:eastAsia="Times New Roman"/>
          <w:szCs w:val="20"/>
          <w:lang w:val="en-GB"/>
        </w:rPr>
        <w:t xml:space="preserve"> and the fixed price budget for the audit (including hourly charge out rates of various personnel). Tenders must also specify </w:t>
      </w:r>
      <w:r w:rsidR="00A404DD">
        <w:rPr>
          <w:rFonts w:eastAsia="Times New Roman"/>
          <w:szCs w:val="20"/>
          <w:lang w:val="en-GB"/>
        </w:rPr>
        <w:t>two</w:t>
      </w:r>
      <w:r w:rsidRPr="00BA7D06">
        <w:rPr>
          <w:rFonts w:eastAsia="Times New Roman"/>
          <w:szCs w:val="20"/>
          <w:lang w:val="en-GB"/>
        </w:rPr>
        <w:t xml:space="preserve"> relevant client referees that PHA may contact.</w:t>
      </w:r>
    </w:p>
    <w:p w14:paraId="7A1C7407" w14:textId="6F195C79" w:rsidR="00A32AC3" w:rsidRPr="00BA7D06" w:rsidRDefault="00A32AC3" w:rsidP="00A404DD">
      <w:pPr>
        <w:spacing w:before="120" w:after="0"/>
        <w:rPr>
          <w:szCs w:val="20"/>
        </w:rPr>
      </w:pPr>
      <w:r w:rsidRPr="00BA7D06">
        <w:rPr>
          <w:szCs w:val="20"/>
        </w:rPr>
        <w:t>As part of this tender process</w:t>
      </w:r>
      <w:r w:rsidR="0031160B">
        <w:rPr>
          <w:szCs w:val="20"/>
        </w:rPr>
        <w:t>,</w:t>
      </w:r>
      <w:r w:rsidRPr="00BA7D06">
        <w:rPr>
          <w:szCs w:val="20"/>
        </w:rPr>
        <w:t xml:space="preserve"> PHA will provide tenderers with </w:t>
      </w:r>
      <w:r w:rsidR="00A2314D">
        <w:rPr>
          <w:szCs w:val="20"/>
        </w:rPr>
        <w:t>any further</w:t>
      </w:r>
      <w:r w:rsidRPr="00BA7D06">
        <w:rPr>
          <w:szCs w:val="20"/>
        </w:rPr>
        <w:t xml:space="preserve"> </w:t>
      </w:r>
      <w:r w:rsidR="00A2314D">
        <w:rPr>
          <w:szCs w:val="20"/>
        </w:rPr>
        <w:t xml:space="preserve">relevant </w:t>
      </w:r>
      <w:r w:rsidRPr="00BA7D06">
        <w:rPr>
          <w:szCs w:val="20"/>
        </w:rPr>
        <w:t>information upon request to enable prospective tenderers to provide a clear and accurate proposal.</w:t>
      </w:r>
    </w:p>
    <w:p w14:paraId="5BD1ED8D" w14:textId="30C53D2E" w:rsidR="0031160B" w:rsidRPr="00BA7D06" w:rsidRDefault="008C28C9" w:rsidP="0031160B">
      <w:pPr>
        <w:spacing w:before="240" w:after="240"/>
        <w:rPr>
          <w:b/>
          <w:bCs w:val="0"/>
          <w:szCs w:val="20"/>
        </w:rPr>
      </w:pPr>
      <w:r>
        <w:rPr>
          <w:b/>
          <w:bCs w:val="0"/>
          <w:szCs w:val="20"/>
        </w:rPr>
        <w:t>5.2</w:t>
      </w:r>
      <w:r w:rsidR="0031160B" w:rsidRPr="00BA7D06">
        <w:rPr>
          <w:b/>
          <w:bCs w:val="0"/>
          <w:szCs w:val="20"/>
        </w:rPr>
        <w:t xml:space="preserve"> Term of Contract</w:t>
      </w:r>
    </w:p>
    <w:p w14:paraId="4621AB4C" w14:textId="04D31BC1" w:rsidR="0031160B" w:rsidRPr="00BA7D06" w:rsidRDefault="0031160B" w:rsidP="008C28C9">
      <w:pPr>
        <w:spacing w:after="0" w:line="240" w:lineRule="auto"/>
        <w:rPr>
          <w:rFonts w:eastAsia="Times New Roman"/>
          <w:szCs w:val="20"/>
          <w:lang w:val="en-US"/>
        </w:rPr>
      </w:pPr>
      <w:r w:rsidRPr="00BA7D06">
        <w:rPr>
          <w:rFonts w:eastAsia="Times New Roman"/>
          <w:szCs w:val="20"/>
          <w:lang w:val="en-US"/>
        </w:rPr>
        <w:t xml:space="preserve">The term of the contract will be for </w:t>
      </w:r>
      <w:r w:rsidR="008C28C9">
        <w:rPr>
          <w:rFonts w:eastAsia="Times New Roman"/>
          <w:szCs w:val="20"/>
          <w:lang w:val="en-US"/>
        </w:rPr>
        <w:t>the period of this engagement.</w:t>
      </w:r>
    </w:p>
    <w:p w14:paraId="12C1C8F2" w14:textId="5142CD38" w:rsidR="00A32AC3" w:rsidRPr="00BA7D06" w:rsidRDefault="008C28C9" w:rsidP="00A32AC3">
      <w:pPr>
        <w:overflowPunct w:val="0"/>
        <w:autoSpaceDE w:val="0"/>
        <w:autoSpaceDN w:val="0"/>
        <w:adjustRightInd w:val="0"/>
        <w:spacing w:before="240" w:after="240" w:line="240" w:lineRule="auto"/>
        <w:rPr>
          <w:rFonts w:eastAsia="Times New Roman"/>
          <w:b/>
          <w:szCs w:val="20"/>
          <w:lang w:val="en-GB"/>
        </w:rPr>
      </w:pPr>
      <w:r>
        <w:rPr>
          <w:rFonts w:eastAsia="Times New Roman"/>
          <w:b/>
          <w:szCs w:val="20"/>
          <w:lang w:val="en-GB"/>
        </w:rPr>
        <w:t>5.3</w:t>
      </w:r>
      <w:r w:rsidR="00A32AC3" w:rsidRPr="00BA7D06">
        <w:rPr>
          <w:rFonts w:eastAsia="Times New Roman"/>
          <w:b/>
          <w:szCs w:val="20"/>
          <w:lang w:val="en-GB"/>
        </w:rPr>
        <w:t xml:space="preserve"> Submission of Tender</w:t>
      </w:r>
    </w:p>
    <w:p w14:paraId="2F46A589" w14:textId="77777777" w:rsidR="00A32AC3" w:rsidRPr="00BA7D06" w:rsidRDefault="00A32AC3" w:rsidP="00A32AC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 xml:space="preserve">Tenders to be emailed to </w:t>
      </w:r>
      <w:hyperlink r:id="rId11" w:history="1">
        <w:r w:rsidRPr="00BA7D06">
          <w:rPr>
            <w:rStyle w:val="Hyperlink"/>
            <w:rFonts w:eastAsia="Times New Roman"/>
            <w:szCs w:val="20"/>
            <w:lang w:val="en-GB"/>
          </w:rPr>
          <w:t>mmilne@phau.com.au</w:t>
        </w:r>
      </w:hyperlink>
    </w:p>
    <w:p w14:paraId="44494665" w14:textId="1EFE8FDE" w:rsidR="00A32AC3" w:rsidRPr="00BA7D06" w:rsidRDefault="008C28C9" w:rsidP="00A32AC3">
      <w:pPr>
        <w:overflowPunct w:val="0"/>
        <w:autoSpaceDE w:val="0"/>
        <w:autoSpaceDN w:val="0"/>
        <w:adjustRightInd w:val="0"/>
        <w:spacing w:before="240" w:after="240" w:line="240" w:lineRule="auto"/>
        <w:rPr>
          <w:rFonts w:eastAsia="Times New Roman"/>
          <w:b/>
          <w:szCs w:val="20"/>
          <w:lang w:val="en-GB"/>
        </w:rPr>
      </w:pPr>
      <w:r>
        <w:rPr>
          <w:rFonts w:eastAsia="Times New Roman"/>
          <w:b/>
          <w:bCs w:val="0"/>
          <w:szCs w:val="20"/>
          <w:lang w:val="en-GB"/>
        </w:rPr>
        <w:t>5.4</w:t>
      </w:r>
      <w:r w:rsidR="00A32AC3" w:rsidRPr="00BA7D06">
        <w:rPr>
          <w:rFonts w:eastAsia="Times New Roman"/>
          <w:b/>
          <w:bCs w:val="0"/>
          <w:szCs w:val="20"/>
          <w:lang w:val="en-GB"/>
        </w:rPr>
        <w:t xml:space="preserve"> </w:t>
      </w:r>
      <w:r w:rsidR="00A32AC3" w:rsidRPr="00BA7D06">
        <w:rPr>
          <w:rFonts w:eastAsia="Times New Roman"/>
          <w:b/>
          <w:szCs w:val="20"/>
          <w:lang w:val="en-GB"/>
        </w:rPr>
        <w:t>Closing date for Tender</w:t>
      </w:r>
    </w:p>
    <w:p w14:paraId="4A1E716C" w14:textId="79018990" w:rsidR="00A32AC3" w:rsidRDefault="00A32AC3" w:rsidP="001B19D6">
      <w:pPr>
        <w:overflowPunct w:val="0"/>
        <w:autoSpaceDE w:val="0"/>
        <w:autoSpaceDN w:val="0"/>
        <w:adjustRightInd w:val="0"/>
        <w:spacing w:before="120" w:after="240" w:line="240" w:lineRule="auto"/>
        <w:rPr>
          <w:rFonts w:eastAsia="Times New Roman"/>
          <w:bCs w:val="0"/>
          <w:szCs w:val="20"/>
          <w:lang w:val="en-GB"/>
        </w:rPr>
      </w:pPr>
      <w:r w:rsidRPr="00BA7D06">
        <w:rPr>
          <w:rFonts w:eastAsia="Times New Roman"/>
          <w:bCs w:val="0"/>
          <w:szCs w:val="20"/>
          <w:lang w:val="en-GB"/>
        </w:rPr>
        <w:t xml:space="preserve">Close of </w:t>
      </w:r>
      <w:r w:rsidR="00B23FBE">
        <w:rPr>
          <w:rFonts w:eastAsia="Times New Roman"/>
          <w:bCs w:val="0"/>
          <w:szCs w:val="20"/>
          <w:lang w:val="en-GB"/>
        </w:rPr>
        <w:t>b</w:t>
      </w:r>
      <w:r w:rsidRPr="00BA7D06">
        <w:rPr>
          <w:rFonts w:eastAsia="Times New Roman"/>
          <w:bCs w:val="0"/>
          <w:szCs w:val="20"/>
          <w:lang w:val="en-GB"/>
        </w:rPr>
        <w:t xml:space="preserve">usiness </w:t>
      </w:r>
      <w:r w:rsidR="001B19D6">
        <w:rPr>
          <w:rFonts w:eastAsia="Times New Roman"/>
          <w:bCs w:val="0"/>
          <w:szCs w:val="20"/>
          <w:lang w:val="en-GB"/>
        </w:rPr>
        <w:t>2</w:t>
      </w:r>
      <w:r w:rsidR="00A818E1">
        <w:rPr>
          <w:rFonts w:eastAsia="Times New Roman"/>
          <w:bCs w:val="0"/>
          <w:szCs w:val="20"/>
          <w:lang w:val="en-GB"/>
        </w:rPr>
        <w:t>5 January</w:t>
      </w:r>
      <w:r w:rsidR="008C28C9">
        <w:rPr>
          <w:rFonts w:eastAsia="Times New Roman"/>
          <w:bCs w:val="0"/>
          <w:szCs w:val="20"/>
          <w:lang w:val="en-GB"/>
        </w:rPr>
        <w:t xml:space="preserve"> </w:t>
      </w:r>
      <w:r w:rsidRPr="00BA7D06">
        <w:rPr>
          <w:rFonts w:eastAsia="Times New Roman"/>
          <w:bCs w:val="0"/>
          <w:szCs w:val="20"/>
          <w:lang w:val="en-GB"/>
        </w:rPr>
        <w:t>202</w:t>
      </w:r>
      <w:r w:rsidR="00A2314D">
        <w:rPr>
          <w:rFonts w:eastAsia="Times New Roman"/>
          <w:bCs w:val="0"/>
          <w:szCs w:val="20"/>
          <w:lang w:val="en-GB"/>
        </w:rPr>
        <w:t>3.</w:t>
      </w:r>
      <w:r w:rsidR="00982DE9">
        <w:rPr>
          <w:rFonts w:eastAsia="Times New Roman"/>
          <w:bCs w:val="0"/>
          <w:szCs w:val="20"/>
          <w:lang w:val="en-GB"/>
        </w:rPr>
        <w:t xml:space="preserve"> </w:t>
      </w:r>
    </w:p>
    <w:p w14:paraId="4167771F" w14:textId="6BBBBCBA" w:rsidR="008C28C9" w:rsidRPr="00BA7D06" w:rsidRDefault="008C28C9" w:rsidP="004F6DB7">
      <w:pPr>
        <w:spacing w:before="240" w:after="240"/>
        <w:rPr>
          <w:b/>
          <w:bCs w:val="0"/>
          <w:szCs w:val="20"/>
        </w:rPr>
      </w:pPr>
      <w:r>
        <w:rPr>
          <w:b/>
          <w:bCs w:val="0"/>
          <w:szCs w:val="20"/>
        </w:rPr>
        <w:t>6</w:t>
      </w:r>
      <w:r w:rsidRPr="00BA7D06">
        <w:rPr>
          <w:b/>
          <w:bCs w:val="0"/>
          <w:szCs w:val="20"/>
        </w:rPr>
        <w:t>.0 OTHER INFORMATION</w:t>
      </w:r>
      <w:r w:rsidRPr="00BA7D06">
        <w:rPr>
          <w:b/>
          <w:bCs w:val="0"/>
          <w:szCs w:val="20"/>
        </w:rPr>
        <w:tab/>
      </w:r>
    </w:p>
    <w:p w14:paraId="3951B1B6" w14:textId="439FAC99" w:rsidR="008C28C9" w:rsidRPr="00BA7D06" w:rsidRDefault="00762955" w:rsidP="008C28C9">
      <w:pPr>
        <w:autoSpaceDN w:val="0"/>
        <w:spacing w:before="240" w:after="240" w:line="240" w:lineRule="auto"/>
        <w:rPr>
          <w:rFonts w:eastAsia="Times New Roman"/>
          <w:b/>
          <w:szCs w:val="20"/>
          <w:lang w:val="en-GB"/>
        </w:rPr>
      </w:pPr>
      <w:r>
        <w:rPr>
          <w:rFonts w:eastAsia="Times New Roman"/>
          <w:b/>
          <w:szCs w:val="20"/>
          <w:lang w:val="en-GB"/>
        </w:rPr>
        <w:t>6</w:t>
      </w:r>
      <w:r w:rsidR="008C28C9" w:rsidRPr="00BA7D06">
        <w:rPr>
          <w:rFonts w:eastAsia="Times New Roman"/>
          <w:b/>
          <w:szCs w:val="20"/>
          <w:lang w:val="en-GB"/>
        </w:rPr>
        <w:t>.1 Location</w:t>
      </w:r>
    </w:p>
    <w:p w14:paraId="0E1B579B" w14:textId="03EBA350" w:rsidR="008C28C9" w:rsidRPr="00BA7D06" w:rsidRDefault="008C28C9" w:rsidP="008C28C9">
      <w:pPr>
        <w:autoSpaceDN w:val="0"/>
        <w:spacing w:after="0" w:line="240" w:lineRule="auto"/>
        <w:rPr>
          <w:rFonts w:eastAsia="Times New Roman"/>
          <w:bCs w:val="0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 xml:space="preserve">The PHA head office is located </w:t>
      </w:r>
      <w:r>
        <w:rPr>
          <w:rFonts w:eastAsia="Times New Roman"/>
          <w:szCs w:val="20"/>
          <w:lang w:val="en-GB"/>
        </w:rPr>
        <w:t>at level 1, 1 Phipps Close,</w:t>
      </w:r>
      <w:r w:rsidRPr="00BA7D06">
        <w:rPr>
          <w:rFonts w:eastAsia="Times New Roman"/>
          <w:szCs w:val="20"/>
          <w:lang w:val="en-GB"/>
        </w:rPr>
        <w:t xml:space="preserve"> Deakin, ACT.</w:t>
      </w:r>
    </w:p>
    <w:p w14:paraId="49FC8989" w14:textId="1622AAD9" w:rsidR="008C28C9" w:rsidRPr="00BA7D06" w:rsidRDefault="00762955" w:rsidP="008C28C9">
      <w:pPr>
        <w:autoSpaceDN w:val="0"/>
        <w:spacing w:before="240" w:after="240" w:line="240" w:lineRule="auto"/>
        <w:rPr>
          <w:rFonts w:eastAsia="Times New Roman"/>
          <w:b/>
          <w:szCs w:val="20"/>
          <w:lang w:val="en-GB"/>
        </w:rPr>
      </w:pPr>
      <w:r>
        <w:rPr>
          <w:rFonts w:eastAsia="Times New Roman"/>
          <w:b/>
          <w:szCs w:val="20"/>
          <w:lang w:val="en-GB"/>
        </w:rPr>
        <w:t>6</w:t>
      </w:r>
      <w:r w:rsidR="008C28C9" w:rsidRPr="00BA7D06">
        <w:rPr>
          <w:rFonts w:eastAsia="Times New Roman"/>
          <w:b/>
          <w:szCs w:val="20"/>
          <w:lang w:val="en-GB"/>
        </w:rPr>
        <w:t>.2 Staffing</w:t>
      </w:r>
    </w:p>
    <w:p w14:paraId="78351765" w14:textId="4CA644BA" w:rsidR="008C28C9" w:rsidRPr="00BA7D06" w:rsidRDefault="008C28C9" w:rsidP="008C28C9">
      <w:pPr>
        <w:autoSpaceDN w:val="0"/>
        <w:spacing w:after="0" w:line="240" w:lineRule="auto"/>
        <w:rPr>
          <w:rFonts w:eastAsia="Times New Roman"/>
          <w:bCs w:val="0"/>
          <w:szCs w:val="20"/>
          <w:lang w:val="en-GB"/>
        </w:rPr>
      </w:pPr>
      <w:r w:rsidRPr="00BA7D06">
        <w:rPr>
          <w:rFonts w:eastAsia="Times New Roman"/>
          <w:szCs w:val="20"/>
          <w:lang w:val="en-GB"/>
        </w:rPr>
        <w:t>Approximately 3</w:t>
      </w:r>
      <w:r w:rsidR="00641C58">
        <w:rPr>
          <w:rFonts w:eastAsia="Times New Roman"/>
          <w:szCs w:val="20"/>
          <w:lang w:val="en-GB"/>
        </w:rPr>
        <w:t>6</w:t>
      </w:r>
      <w:r w:rsidRPr="00BA7D06">
        <w:rPr>
          <w:rFonts w:eastAsia="Times New Roman"/>
          <w:szCs w:val="20"/>
          <w:lang w:val="en-GB"/>
        </w:rPr>
        <w:t xml:space="preserve"> staff are employed of which </w:t>
      </w:r>
      <w:r w:rsidR="000C1B87">
        <w:rPr>
          <w:rFonts w:eastAsia="Times New Roman"/>
          <w:szCs w:val="20"/>
          <w:lang w:val="en-GB"/>
        </w:rPr>
        <w:t>8</w:t>
      </w:r>
      <w:r w:rsidRPr="00BA7D06">
        <w:rPr>
          <w:rFonts w:eastAsia="Times New Roman"/>
          <w:szCs w:val="20"/>
          <w:lang w:val="en-GB"/>
        </w:rPr>
        <w:t xml:space="preserve"> are located interstate.</w:t>
      </w:r>
    </w:p>
    <w:p w14:paraId="3A74235B" w14:textId="005B9131" w:rsidR="008C28C9" w:rsidRPr="00BA7D06" w:rsidRDefault="00762955" w:rsidP="008C28C9">
      <w:pPr>
        <w:autoSpaceDN w:val="0"/>
        <w:spacing w:before="240" w:after="240" w:line="240" w:lineRule="auto"/>
        <w:rPr>
          <w:rFonts w:eastAsia="Times New Roman"/>
          <w:b/>
          <w:szCs w:val="20"/>
          <w:lang w:val="en-GB"/>
        </w:rPr>
      </w:pPr>
      <w:r>
        <w:rPr>
          <w:rFonts w:eastAsia="Times New Roman"/>
          <w:b/>
          <w:szCs w:val="20"/>
          <w:lang w:val="en-GB"/>
        </w:rPr>
        <w:t>6</w:t>
      </w:r>
      <w:r w:rsidR="008C28C9" w:rsidRPr="00BA7D06">
        <w:rPr>
          <w:rFonts w:eastAsia="Times New Roman"/>
          <w:b/>
          <w:szCs w:val="20"/>
          <w:lang w:val="en-GB"/>
        </w:rPr>
        <w:t>.</w:t>
      </w:r>
      <w:r w:rsidR="008C28C9">
        <w:rPr>
          <w:rFonts w:eastAsia="Times New Roman"/>
          <w:b/>
          <w:szCs w:val="20"/>
          <w:lang w:val="en-GB"/>
        </w:rPr>
        <w:t>3</w:t>
      </w:r>
      <w:r w:rsidR="008C28C9" w:rsidRPr="00BA7D06">
        <w:rPr>
          <w:rFonts w:eastAsia="Times New Roman"/>
          <w:b/>
          <w:szCs w:val="20"/>
          <w:lang w:val="en-GB"/>
        </w:rPr>
        <w:t xml:space="preserve"> Internal Audits</w:t>
      </w:r>
    </w:p>
    <w:p w14:paraId="147D3A0B" w14:textId="77777777" w:rsidR="008C28C9" w:rsidRPr="00BA7D06" w:rsidRDefault="008C28C9" w:rsidP="008C28C9">
      <w:pPr>
        <w:spacing w:after="0"/>
        <w:rPr>
          <w:szCs w:val="20"/>
        </w:rPr>
      </w:pPr>
      <w:r w:rsidRPr="00BA7D06">
        <w:rPr>
          <w:szCs w:val="20"/>
        </w:rPr>
        <w:t>Internal audits are undertaken regularly to compliment the external audit. Tenders are generally sought from at least three parties for the internal audit.</w:t>
      </w:r>
    </w:p>
    <w:p w14:paraId="43790EFE" w14:textId="7E07158A" w:rsidR="00812915" w:rsidRPr="00BA7D06" w:rsidRDefault="00762955" w:rsidP="004F6DB7">
      <w:pPr>
        <w:spacing w:before="240" w:after="240"/>
        <w:rPr>
          <w:b/>
          <w:bCs w:val="0"/>
          <w:szCs w:val="20"/>
        </w:rPr>
      </w:pPr>
      <w:r>
        <w:rPr>
          <w:b/>
          <w:bCs w:val="0"/>
          <w:szCs w:val="20"/>
        </w:rPr>
        <w:t>7</w:t>
      </w:r>
      <w:r w:rsidR="00812915" w:rsidRPr="00BA7D06">
        <w:rPr>
          <w:b/>
          <w:bCs w:val="0"/>
          <w:szCs w:val="20"/>
        </w:rPr>
        <w:t xml:space="preserve">.0 </w:t>
      </w:r>
      <w:r w:rsidR="00C61ACC" w:rsidRPr="00BA7D06">
        <w:rPr>
          <w:b/>
          <w:szCs w:val="20"/>
        </w:rPr>
        <w:t>RELEVANT DOCUMENTS</w:t>
      </w:r>
    </w:p>
    <w:p w14:paraId="5055BECA" w14:textId="344AD379" w:rsidR="00812915" w:rsidRDefault="00812915" w:rsidP="00664059">
      <w:pPr>
        <w:spacing w:before="120" w:after="0"/>
        <w:rPr>
          <w:b/>
          <w:szCs w:val="20"/>
        </w:rPr>
      </w:pPr>
      <w:r w:rsidRPr="00BA7D06">
        <w:rPr>
          <w:b/>
          <w:szCs w:val="20"/>
        </w:rPr>
        <w:t>PHA Constitution</w:t>
      </w:r>
    </w:p>
    <w:p w14:paraId="359F9636" w14:textId="18F178A1" w:rsidR="00E25BC8" w:rsidRDefault="00000000" w:rsidP="00664059">
      <w:pPr>
        <w:spacing w:before="120" w:after="0"/>
      </w:pPr>
      <w:hyperlink r:id="rId12" w:history="1">
        <w:r w:rsidR="00320D79">
          <w:rPr>
            <w:rStyle w:val="Hyperlink"/>
          </w:rPr>
          <w:t>Company Constitution – Plant Health Australia</w:t>
        </w:r>
      </w:hyperlink>
    </w:p>
    <w:p w14:paraId="0AC8026B" w14:textId="77777777" w:rsidR="00A56E33" w:rsidRDefault="00812915" w:rsidP="00664059">
      <w:pPr>
        <w:spacing w:before="120" w:after="0"/>
        <w:rPr>
          <w:b/>
          <w:szCs w:val="20"/>
        </w:rPr>
      </w:pPr>
      <w:r w:rsidRPr="00BA7D06">
        <w:rPr>
          <w:b/>
          <w:szCs w:val="20"/>
        </w:rPr>
        <w:t>PHA Annual Report 20</w:t>
      </w:r>
      <w:r w:rsidR="00A56E33">
        <w:rPr>
          <w:b/>
          <w:szCs w:val="20"/>
        </w:rPr>
        <w:t>22</w:t>
      </w:r>
    </w:p>
    <w:p w14:paraId="2608D30C" w14:textId="4D8B026B" w:rsidR="00A56E33" w:rsidRDefault="00000000" w:rsidP="00664059">
      <w:pPr>
        <w:spacing w:before="120" w:after="0"/>
      </w:pPr>
      <w:hyperlink r:id="rId13" w:history="1">
        <w:r w:rsidR="00A56E33">
          <w:rPr>
            <w:rStyle w:val="Hyperlink"/>
          </w:rPr>
          <w:t>2022-AnnualReport.pdf (planthealthaustralia.com.au)</w:t>
        </w:r>
      </w:hyperlink>
    </w:p>
    <w:p w14:paraId="00CE3E1C" w14:textId="57B85FD6" w:rsidR="00812915" w:rsidRDefault="00812915" w:rsidP="00664059">
      <w:pPr>
        <w:spacing w:before="120" w:after="0"/>
        <w:rPr>
          <w:b/>
          <w:szCs w:val="20"/>
        </w:rPr>
      </w:pPr>
      <w:r w:rsidRPr="00BA7D06">
        <w:rPr>
          <w:b/>
          <w:szCs w:val="20"/>
        </w:rPr>
        <w:t>20</w:t>
      </w:r>
      <w:r w:rsidR="00762955">
        <w:rPr>
          <w:b/>
          <w:szCs w:val="20"/>
        </w:rPr>
        <w:t>2</w:t>
      </w:r>
      <w:r w:rsidR="00A56E33">
        <w:rPr>
          <w:b/>
          <w:szCs w:val="20"/>
        </w:rPr>
        <w:t>2</w:t>
      </w:r>
      <w:r w:rsidRPr="00BA7D06">
        <w:rPr>
          <w:b/>
          <w:szCs w:val="20"/>
        </w:rPr>
        <w:t>-2</w:t>
      </w:r>
      <w:r w:rsidR="00A56E33">
        <w:rPr>
          <w:b/>
          <w:szCs w:val="20"/>
        </w:rPr>
        <w:t>3</w:t>
      </w:r>
      <w:r w:rsidRPr="00BA7D06">
        <w:rPr>
          <w:b/>
          <w:szCs w:val="20"/>
        </w:rPr>
        <w:t xml:space="preserve"> Annual </w:t>
      </w:r>
      <w:r w:rsidR="00997684" w:rsidRPr="00BA7D06">
        <w:rPr>
          <w:b/>
          <w:szCs w:val="20"/>
        </w:rPr>
        <w:t>Operati</w:t>
      </w:r>
      <w:r w:rsidR="00997684">
        <w:rPr>
          <w:b/>
          <w:szCs w:val="20"/>
        </w:rPr>
        <w:t>onal</w:t>
      </w:r>
      <w:r w:rsidRPr="00BA7D06">
        <w:rPr>
          <w:b/>
          <w:szCs w:val="20"/>
        </w:rPr>
        <w:t xml:space="preserve"> Plan</w:t>
      </w:r>
    </w:p>
    <w:p w14:paraId="48A027CA" w14:textId="3BCE3D31" w:rsidR="00997684" w:rsidRPr="00BA7D06" w:rsidRDefault="00000000" w:rsidP="00664059">
      <w:pPr>
        <w:spacing w:before="120" w:after="0"/>
        <w:rPr>
          <w:b/>
          <w:bCs w:val="0"/>
          <w:szCs w:val="20"/>
        </w:rPr>
      </w:pPr>
      <w:hyperlink r:id="rId14" w:history="1">
        <w:r w:rsidR="00997684">
          <w:rPr>
            <w:rStyle w:val="Hyperlink"/>
          </w:rPr>
          <w:t>Annual-Operational-Plan-2022-23.pdf (planthealthaustralia.com.au)</w:t>
        </w:r>
      </w:hyperlink>
    </w:p>
    <w:p w14:paraId="6578214E" w14:textId="1FBEB3F9" w:rsidR="00812915" w:rsidRDefault="00812915" w:rsidP="00664059">
      <w:pPr>
        <w:spacing w:before="120" w:after="0"/>
        <w:rPr>
          <w:b/>
          <w:szCs w:val="20"/>
        </w:rPr>
      </w:pPr>
      <w:r w:rsidRPr="00BA7D06">
        <w:rPr>
          <w:b/>
          <w:szCs w:val="20"/>
        </w:rPr>
        <w:t>Strategic Plan</w:t>
      </w:r>
    </w:p>
    <w:p w14:paraId="720B2A8D" w14:textId="4CB8C3AA" w:rsidR="00997684" w:rsidRPr="00BA7D06" w:rsidRDefault="00000000" w:rsidP="00664059">
      <w:pPr>
        <w:spacing w:before="120" w:after="0"/>
        <w:rPr>
          <w:b/>
          <w:bCs w:val="0"/>
          <w:szCs w:val="20"/>
        </w:rPr>
      </w:pPr>
      <w:hyperlink r:id="rId15" w:history="1">
        <w:r w:rsidR="00E25BC8">
          <w:rPr>
            <w:rStyle w:val="Hyperlink"/>
          </w:rPr>
          <w:t>Our Strategic Plan 2022-27 – Plant Health Australia</w:t>
        </w:r>
      </w:hyperlink>
    </w:p>
    <w:p w14:paraId="06BBB590" w14:textId="77777777" w:rsidR="00812915" w:rsidRPr="00BA7D06" w:rsidRDefault="00812915" w:rsidP="00664059">
      <w:pPr>
        <w:widowControl w:val="0"/>
        <w:autoSpaceDE w:val="0"/>
        <w:autoSpaceDN w:val="0"/>
        <w:spacing w:after="0" w:line="256" w:lineRule="auto"/>
        <w:rPr>
          <w:rFonts w:eastAsia="Times New Roman"/>
          <w:szCs w:val="20"/>
          <w:lang w:val="en-GB"/>
        </w:rPr>
      </w:pPr>
    </w:p>
    <w:p w14:paraId="2F7C03CE" w14:textId="77777777" w:rsidR="0086785C" w:rsidRDefault="0086785C">
      <w:pPr>
        <w:rPr>
          <w:szCs w:val="20"/>
        </w:rPr>
        <w:sectPr w:rsidR="0086785C" w:rsidSect="009A6F8F">
          <w:headerReference w:type="default" r:id="rId16"/>
          <w:pgSz w:w="11906" w:h="16838" w:code="9"/>
          <w:pgMar w:top="1440" w:right="1133" w:bottom="851" w:left="1440" w:header="426" w:footer="708" w:gutter="0"/>
          <w:cols w:space="708"/>
          <w:docGrid w:linePitch="360"/>
        </w:sectPr>
      </w:pPr>
    </w:p>
    <w:p w14:paraId="2BA0BAB9" w14:textId="7B4209B9" w:rsidR="00914EC1" w:rsidRDefault="00914EC1">
      <w:pPr>
        <w:rPr>
          <w:szCs w:val="20"/>
        </w:rPr>
      </w:pPr>
    </w:p>
    <w:p w14:paraId="7FFC18E8" w14:textId="7BE21731" w:rsidR="001E1958" w:rsidRPr="00BA7D06" w:rsidRDefault="001E1958" w:rsidP="00664059">
      <w:pPr>
        <w:rPr>
          <w:szCs w:val="20"/>
        </w:rPr>
      </w:pPr>
      <w:r w:rsidRPr="00BA7D06">
        <w:rPr>
          <w:szCs w:val="20"/>
        </w:rPr>
        <w:t>It is requested that tenders include the following information:</w:t>
      </w:r>
    </w:p>
    <w:p w14:paraId="1BEBDCC3" w14:textId="7CA11767" w:rsidR="00456A37" w:rsidRPr="00BA7D06" w:rsidRDefault="00456A37" w:rsidP="00456A37">
      <w:pPr>
        <w:spacing w:after="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The firm</w:t>
      </w:r>
    </w:p>
    <w:p w14:paraId="07289CA9" w14:textId="01766DBE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A description of the </w:t>
      </w:r>
      <w:r w:rsidR="0031160B">
        <w:rPr>
          <w:rFonts w:ascii="Segoe UI" w:hAnsi="Segoe UI" w:cs="Segoe UI"/>
          <w:sz w:val="20"/>
          <w:szCs w:val="20"/>
        </w:rPr>
        <w:t>internal</w:t>
      </w:r>
      <w:r w:rsidRPr="00BA7D06">
        <w:rPr>
          <w:rFonts w:ascii="Segoe UI" w:hAnsi="Segoe UI" w:cs="Segoe UI"/>
          <w:sz w:val="20"/>
          <w:szCs w:val="20"/>
        </w:rPr>
        <w:t xml:space="preserve"> audit firm including organisation structure as it relates to this engagement</w:t>
      </w:r>
    </w:p>
    <w:p w14:paraId="3C0EC3BB" w14:textId="375CCA38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Summary of the potential benefits to PHA of selecting your firm</w:t>
      </w:r>
    </w:p>
    <w:p w14:paraId="12B1B25E" w14:textId="494F38F3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Information regarding relevant experience </w:t>
      </w:r>
      <w:r w:rsidR="0031160B">
        <w:rPr>
          <w:rFonts w:ascii="Segoe UI" w:hAnsi="Segoe UI" w:cs="Segoe UI"/>
          <w:sz w:val="20"/>
          <w:szCs w:val="20"/>
        </w:rPr>
        <w:t xml:space="preserve">with </w:t>
      </w:r>
      <w:r w:rsidRPr="00BA7D06">
        <w:rPr>
          <w:rFonts w:ascii="Segoe UI" w:hAnsi="Segoe UI" w:cs="Segoe UI"/>
          <w:sz w:val="20"/>
          <w:szCs w:val="20"/>
        </w:rPr>
        <w:t>comparable clients to PHA in organisational status and size</w:t>
      </w:r>
      <w:r w:rsidR="0031160B">
        <w:rPr>
          <w:rFonts w:ascii="Segoe UI" w:hAnsi="Segoe UI" w:cs="Segoe UI"/>
          <w:sz w:val="20"/>
          <w:szCs w:val="20"/>
        </w:rPr>
        <w:t>.</w:t>
      </w:r>
    </w:p>
    <w:p w14:paraId="46146F94" w14:textId="65F31F23" w:rsidR="001E1958" w:rsidRPr="00BA7D06" w:rsidRDefault="001E1958" w:rsidP="00456A37">
      <w:pPr>
        <w:spacing w:before="60" w:after="6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Resourcing</w:t>
      </w:r>
    </w:p>
    <w:p w14:paraId="190959C8" w14:textId="66B4E994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Details of the core service team, location</w:t>
      </w:r>
      <w:r w:rsidR="0031160B">
        <w:rPr>
          <w:rFonts w:ascii="Segoe UI" w:hAnsi="Segoe UI" w:cs="Segoe UI"/>
          <w:sz w:val="20"/>
          <w:szCs w:val="20"/>
        </w:rPr>
        <w:t>,</w:t>
      </w:r>
      <w:r w:rsidRPr="00BA7D06">
        <w:rPr>
          <w:rFonts w:ascii="Segoe UI" w:hAnsi="Segoe UI" w:cs="Segoe UI"/>
          <w:sz w:val="20"/>
          <w:szCs w:val="20"/>
        </w:rPr>
        <w:t xml:space="preserve"> and relevant experience.</w:t>
      </w:r>
    </w:p>
    <w:p w14:paraId="49AF92C7" w14:textId="77777777" w:rsidR="001E1958" w:rsidRPr="00BA7D06" w:rsidRDefault="001E1958" w:rsidP="00456A37">
      <w:pPr>
        <w:spacing w:before="60" w:after="6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Approach and Transition</w:t>
      </w:r>
    </w:p>
    <w:p w14:paraId="3462632F" w14:textId="7F48A029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 xml:space="preserve">The process by which the </w:t>
      </w:r>
      <w:r w:rsidR="0031160B">
        <w:rPr>
          <w:rFonts w:ascii="Segoe UI" w:hAnsi="Segoe UI" w:cs="Segoe UI"/>
          <w:sz w:val="20"/>
          <w:szCs w:val="20"/>
        </w:rPr>
        <w:t xml:space="preserve">audit </w:t>
      </w:r>
      <w:r w:rsidRPr="00BA7D06">
        <w:rPr>
          <w:rFonts w:ascii="Segoe UI" w:hAnsi="Segoe UI" w:cs="Segoe UI"/>
          <w:sz w:val="20"/>
          <w:szCs w:val="20"/>
        </w:rPr>
        <w:t>firm will obtain an understanding of PHA’s organisational needs and risks</w:t>
      </w:r>
    </w:p>
    <w:p w14:paraId="03FD8FB0" w14:textId="20353597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Explanation of the audit approach and how this would be aligned to PHA’s specific needs</w:t>
      </w:r>
    </w:p>
    <w:p w14:paraId="317E02F8" w14:textId="01CBC9C8" w:rsidR="001E1958" w:rsidRPr="00BA7D06" w:rsidRDefault="0031160B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Details of the </w:t>
      </w:r>
      <w:r w:rsidR="001E1958" w:rsidRPr="00BA7D06">
        <w:rPr>
          <w:rFonts w:ascii="Segoe UI" w:hAnsi="Segoe UI" w:cs="Segoe UI"/>
          <w:sz w:val="20"/>
          <w:szCs w:val="20"/>
        </w:rPr>
        <w:t>technology to deliver audit-related services</w:t>
      </w:r>
    </w:p>
    <w:p w14:paraId="4A44A821" w14:textId="5D9DD60C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How findings will be reported to management</w:t>
      </w:r>
      <w:r w:rsidR="008C28C9">
        <w:rPr>
          <w:rFonts w:ascii="Segoe UI" w:hAnsi="Segoe UI" w:cs="Segoe UI"/>
          <w:sz w:val="20"/>
          <w:szCs w:val="20"/>
        </w:rPr>
        <w:t>.</w:t>
      </w:r>
    </w:p>
    <w:p w14:paraId="7E257E42" w14:textId="77777777" w:rsidR="001E1958" w:rsidRPr="00BA7D06" w:rsidRDefault="001E1958" w:rsidP="00456A37">
      <w:pPr>
        <w:spacing w:before="60" w:after="6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Quality Assurance</w:t>
      </w:r>
    </w:p>
    <w:p w14:paraId="7F69B783" w14:textId="6660729B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Describe the internal processes used for quality assurance</w:t>
      </w:r>
      <w:r w:rsidR="00AA787F">
        <w:rPr>
          <w:rFonts w:ascii="Segoe UI" w:hAnsi="Segoe UI" w:cs="Segoe UI"/>
          <w:sz w:val="20"/>
          <w:szCs w:val="20"/>
        </w:rPr>
        <w:t>.</w:t>
      </w:r>
    </w:p>
    <w:p w14:paraId="6DB9A179" w14:textId="77777777" w:rsidR="001E1958" w:rsidRPr="00BA7D06" w:rsidRDefault="001E1958" w:rsidP="00456A37">
      <w:pPr>
        <w:spacing w:before="60" w:after="6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Independence and Governance</w:t>
      </w:r>
    </w:p>
    <w:p w14:paraId="63393A06" w14:textId="489F6297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Details of your firm’s policies and practices to ensure compliance with independence requirements and the processes to deal with conflicts of interest</w:t>
      </w:r>
    </w:p>
    <w:p w14:paraId="6CC4BC81" w14:textId="0C461E9A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Confirmation from your firm that it will take all necessary steps to ensure its ongoing independence.</w:t>
      </w:r>
    </w:p>
    <w:p w14:paraId="2BD925F5" w14:textId="77777777" w:rsidR="001E1958" w:rsidRPr="00BA7D06" w:rsidRDefault="001E1958" w:rsidP="00456A37">
      <w:pPr>
        <w:spacing w:before="60" w:after="6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Insurance and terms &amp; conditions</w:t>
      </w:r>
    </w:p>
    <w:p w14:paraId="4491E85E" w14:textId="144A7F49" w:rsidR="001E1958" w:rsidRPr="00BA7D06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Evidence of adequate professional indemnity insurance</w:t>
      </w:r>
    </w:p>
    <w:p w14:paraId="557E7AA2" w14:textId="4B515843" w:rsidR="008B2A71" w:rsidRDefault="001E1958" w:rsidP="00C61ACC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The audit firm’s terms and conditions to provide the audit service.</w:t>
      </w:r>
    </w:p>
    <w:p w14:paraId="1ECFD2FE" w14:textId="77777777" w:rsidR="00914EC1" w:rsidRPr="00BA7D06" w:rsidRDefault="00914EC1" w:rsidP="00914EC1">
      <w:pPr>
        <w:spacing w:before="60" w:after="60"/>
        <w:rPr>
          <w:b/>
          <w:bCs w:val="0"/>
          <w:szCs w:val="20"/>
        </w:rPr>
      </w:pPr>
      <w:r w:rsidRPr="00BA7D06">
        <w:rPr>
          <w:b/>
          <w:bCs w:val="0"/>
          <w:szCs w:val="20"/>
        </w:rPr>
        <w:t>Fees</w:t>
      </w:r>
    </w:p>
    <w:p w14:paraId="25DE176B" w14:textId="77777777" w:rsidR="00914EC1" w:rsidRPr="00BA7D06" w:rsidRDefault="00914EC1" w:rsidP="00914EC1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The basis on which fees will be determined including charge out rates</w:t>
      </w:r>
    </w:p>
    <w:p w14:paraId="54351FBD" w14:textId="77777777" w:rsidR="00914EC1" w:rsidRPr="00BA7D06" w:rsidRDefault="00914EC1" w:rsidP="00914EC1">
      <w:pPr>
        <w:pStyle w:val="ListParagraph"/>
        <w:numPr>
          <w:ilvl w:val="0"/>
          <w:numId w:val="6"/>
        </w:numPr>
        <w:spacing w:before="60"/>
        <w:ind w:left="567" w:hanging="283"/>
        <w:jc w:val="left"/>
        <w:rPr>
          <w:rFonts w:ascii="Segoe UI" w:hAnsi="Segoe UI" w:cs="Segoe UI"/>
          <w:sz w:val="20"/>
          <w:szCs w:val="20"/>
        </w:rPr>
      </w:pPr>
      <w:r w:rsidRPr="00BA7D06">
        <w:rPr>
          <w:rFonts w:ascii="Segoe UI" w:hAnsi="Segoe UI" w:cs="Segoe UI"/>
          <w:sz w:val="20"/>
          <w:szCs w:val="20"/>
        </w:rPr>
        <w:t>General overview of the schedule and timing of billings.</w:t>
      </w:r>
    </w:p>
    <w:p w14:paraId="68123D8A" w14:textId="77777777" w:rsidR="00914EC1" w:rsidRPr="00914EC1" w:rsidRDefault="00914EC1" w:rsidP="00914EC1">
      <w:pPr>
        <w:spacing w:before="60"/>
        <w:rPr>
          <w:szCs w:val="20"/>
        </w:rPr>
      </w:pPr>
    </w:p>
    <w:sectPr w:rsidR="00914EC1" w:rsidRPr="00914EC1" w:rsidSect="00914EC1">
      <w:headerReference w:type="default" r:id="rId17"/>
      <w:pgSz w:w="11906" w:h="16838" w:code="9"/>
      <w:pgMar w:top="1440" w:right="1133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FE4C" w14:textId="77777777" w:rsidR="009D5515" w:rsidRDefault="009D5515" w:rsidP="001E1958">
      <w:pPr>
        <w:spacing w:after="0" w:line="240" w:lineRule="auto"/>
      </w:pPr>
      <w:r>
        <w:separator/>
      </w:r>
    </w:p>
  </w:endnote>
  <w:endnote w:type="continuationSeparator" w:id="0">
    <w:p w14:paraId="41DDA253" w14:textId="77777777" w:rsidR="009D5515" w:rsidRDefault="009D5515" w:rsidP="001E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YInterstate Light">
    <w:altName w:val="Franklin Gothic Medium Cond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B8FD" w14:textId="77777777" w:rsidR="009D5515" w:rsidRDefault="009D5515" w:rsidP="001E1958">
      <w:pPr>
        <w:spacing w:after="0" w:line="240" w:lineRule="auto"/>
      </w:pPr>
      <w:r>
        <w:separator/>
      </w:r>
    </w:p>
  </w:footnote>
  <w:footnote w:type="continuationSeparator" w:id="0">
    <w:p w14:paraId="13C92CF3" w14:textId="77777777" w:rsidR="009D5515" w:rsidRDefault="009D5515" w:rsidP="001E1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75E7" w14:textId="4675D16E" w:rsidR="00A079B6" w:rsidRPr="008B2A71" w:rsidRDefault="00270736" w:rsidP="00BE36F4">
    <w:pPr>
      <w:pStyle w:val="Header"/>
      <w:tabs>
        <w:tab w:val="clear" w:pos="9026"/>
      </w:tabs>
      <w:jc w:val="center"/>
      <w:rPr>
        <w:b/>
        <w:bCs w:val="0"/>
      </w:rPr>
    </w:pPr>
    <w:r>
      <w:rPr>
        <w:noProof/>
      </w:rPr>
      <w:drawing>
        <wp:inline distT="0" distB="0" distL="0" distR="0" wp14:anchorId="5BFF5964" wp14:editId="621B8402">
          <wp:extent cx="1803679" cy="425163"/>
          <wp:effectExtent l="0" t="0" r="635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640" cy="43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DAA4" w14:textId="77777777" w:rsidR="0086785C" w:rsidRPr="008C28C9" w:rsidRDefault="0086785C" w:rsidP="008B2A71">
    <w:pPr>
      <w:pStyle w:val="Header"/>
      <w:jc w:val="center"/>
      <w:rPr>
        <w:b/>
        <w:bCs w:val="0"/>
        <w:sz w:val="22"/>
        <w:szCs w:val="24"/>
      </w:rPr>
    </w:pPr>
    <w:r w:rsidRPr="008C28C9">
      <w:rPr>
        <w:b/>
        <w:bCs w:val="0"/>
        <w:sz w:val="22"/>
        <w:szCs w:val="24"/>
      </w:rPr>
      <w:t>Schedule</w:t>
    </w:r>
    <w:r>
      <w:rPr>
        <w:b/>
        <w:bCs w:val="0"/>
        <w:sz w:val="22"/>
        <w:szCs w:val="24"/>
      </w:rPr>
      <w:t xml:space="preserve"> 1</w:t>
    </w:r>
  </w:p>
  <w:p w14:paraId="3CE0B1B3" w14:textId="77777777" w:rsidR="0086785C" w:rsidRPr="008C28C9" w:rsidRDefault="0086785C" w:rsidP="008B2A71">
    <w:pPr>
      <w:pStyle w:val="Header"/>
      <w:jc w:val="center"/>
      <w:rPr>
        <w:b/>
        <w:bCs w:val="0"/>
        <w:sz w:val="22"/>
        <w:szCs w:val="24"/>
      </w:rPr>
    </w:pPr>
    <w:r w:rsidRPr="008C28C9">
      <w:rPr>
        <w:b/>
        <w:bCs w:val="0"/>
        <w:sz w:val="22"/>
      </w:rPr>
      <w:t>Detailed information to be included in the Tender</w:t>
    </w:r>
  </w:p>
  <w:p w14:paraId="130DFDFE" w14:textId="77777777" w:rsidR="0086785C" w:rsidRPr="008B2A71" w:rsidRDefault="0086785C" w:rsidP="008B2A71">
    <w:pPr>
      <w:pStyle w:val="Header"/>
      <w:jc w:val="center"/>
      <w:rPr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1AD"/>
    <w:multiLevelType w:val="hybridMultilevel"/>
    <w:tmpl w:val="9E70A830"/>
    <w:lvl w:ilvl="0" w:tplc="2D5A36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266"/>
    <w:multiLevelType w:val="hybridMultilevel"/>
    <w:tmpl w:val="30FC9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80B"/>
    <w:multiLevelType w:val="hybridMultilevel"/>
    <w:tmpl w:val="307A28E4"/>
    <w:lvl w:ilvl="0" w:tplc="3EBC40FC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6DD4"/>
    <w:multiLevelType w:val="hybridMultilevel"/>
    <w:tmpl w:val="71F09D6C"/>
    <w:lvl w:ilvl="0" w:tplc="2D5A36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51AEC"/>
    <w:multiLevelType w:val="hybridMultilevel"/>
    <w:tmpl w:val="270C7E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2473C"/>
    <w:multiLevelType w:val="hybridMultilevel"/>
    <w:tmpl w:val="3596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CD6"/>
    <w:multiLevelType w:val="hybridMultilevel"/>
    <w:tmpl w:val="C630BE82"/>
    <w:lvl w:ilvl="0" w:tplc="2D5A3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34EA4517"/>
    <w:multiLevelType w:val="hybridMultilevel"/>
    <w:tmpl w:val="B0BCAA0E"/>
    <w:lvl w:ilvl="0" w:tplc="2D5A36E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092B"/>
    <w:multiLevelType w:val="hybridMultilevel"/>
    <w:tmpl w:val="CE645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E4EAB"/>
    <w:multiLevelType w:val="hybridMultilevel"/>
    <w:tmpl w:val="94FE6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44490"/>
    <w:multiLevelType w:val="hybridMultilevel"/>
    <w:tmpl w:val="2E8AAA2C"/>
    <w:lvl w:ilvl="0" w:tplc="3EBC40FC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2832"/>
    <w:multiLevelType w:val="hybridMultilevel"/>
    <w:tmpl w:val="723E1CC8"/>
    <w:lvl w:ilvl="0" w:tplc="3EBC40FC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4208">
    <w:abstractNumId w:val="7"/>
  </w:num>
  <w:num w:numId="2" w16cid:durableId="1111166382">
    <w:abstractNumId w:val="3"/>
  </w:num>
  <w:num w:numId="3" w16cid:durableId="212734856">
    <w:abstractNumId w:val="5"/>
  </w:num>
  <w:num w:numId="4" w16cid:durableId="230191354">
    <w:abstractNumId w:val="6"/>
  </w:num>
  <w:num w:numId="5" w16cid:durableId="309749409">
    <w:abstractNumId w:val="0"/>
  </w:num>
  <w:num w:numId="6" w16cid:durableId="351804086">
    <w:abstractNumId w:val="4"/>
  </w:num>
  <w:num w:numId="7" w16cid:durableId="75248603">
    <w:abstractNumId w:val="0"/>
  </w:num>
  <w:num w:numId="8" w16cid:durableId="323124736">
    <w:abstractNumId w:val="8"/>
  </w:num>
  <w:num w:numId="9" w16cid:durableId="623391609">
    <w:abstractNumId w:val="11"/>
  </w:num>
  <w:num w:numId="10" w16cid:durableId="310524733">
    <w:abstractNumId w:val="2"/>
  </w:num>
  <w:num w:numId="11" w16cid:durableId="1384599781">
    <w:abstractNumId w:val="10"/>
  </w:num>
  <w:num w:numId="12" w16cid:durableId="1333264909">
    <w:abstractNumId w:val="9"/>
  </w:num>
  <w:num w:numId="13" w16cid:durableId="109670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5B"/>
    <w:rsid w:val="000004D9"/>
    <w:rsid w:val="00027E96"/>
    <w:rsid w:val="0003414A"/>
    <w:rsid w:val="0007355B"/>
    <w:rsid w:val="000815E7"/>
    <w:rsid w:val="00086567"/>
    <w:rsid w:val="000B68D6"/>
    <w:rsid w:val="000C1B87"/>
    <w:rsid w:val="000D5C9F"/>
    <w:rsid w:val="00110DF5"/>
    <w:rsid w:val="0012160A"/>
    <w:rsid w:val="00156052"/>
    <w:rsid w:val="0016616F"/>
    <w:rsid w:val="00176376"/>
    <w:rsid w:val="001B19D6"/>
    <w:rsid w:val="001E1958"/>
    <w:rsid w:val="001E4362"/>
    <w:rsid w:val="001E4AF2"/>
    <w:rsid w:val="0020390C"/>
    <w:rsid w:val="00205E5F"/>
    <w:rsid w:val="00247160"/>
    <w:rsid w:val="00254629"/>
    <w:rsid w:val="00270736"/>
    <w:rsid w:val="002B6CEB"/>
    <w:rsid w:val="002D1CB2"/>
    <w:rsid w:val="002F5C76"/>
    <w:rsid w:val="0031160B"/>
    <w:rsid w:val="00320D79"/>
    <w:rsid w:val="003B0425"/>
    <w:rsid w:val="003C4519"/>
    <w:rsid w:val="003F59C9"/>
    <w:rsid w:val="004016D9"/>
    <w:rsid w:val="004109FC"/>
    <w:rsid w:val="00417C7E"/>
    <w:rsid w:val="0043193C"/>
    <w:rsid w:val="00436D52"/>
    <w:rsid w:val="0044361B"/>
    <w:rsid w:val="00456A37"/>
    <w:rsid w:val="00462572"/>
    <w:rsid w:val="00472EB5"/>
    <w:rsid w:val="004C3EBC"/>
    <w:rsid w:val="004C74FF"/>
    <w:rsid w:val="004F6DB7"/>
    <w:rsid w:val="0052243D"/>
    <w:rsid w:val="005224B8"/>
    <w:rsid w:val="00593247"/>
    <w:rsid w:val="005A665D"/>
    <w:rsid w:val="0061242F"/>
    <w:rsid w:val="00641C58"/>
    <w:rsid w:val="0066276A"/>
    <w:rsid w:val="00664059"/>
    <w:rsid w:val="006746D6"/>
    <w:rsid w:val="00680C5D"/>
    <w:rsid w:val="006C03A0"/>
    <w:rsid w:val="006C1EAC"/>
    <w:rsid w:val="006D785C"/>
    <w:rsid w:val="00710DC6"/>
    <w:rsid w:val="00717254"/>
    <w:rsid w:val="00725D2A"/>
    <w:rsid w:val="00762955"/>
    <w:rsid w:val="00770E6F"/>
    <w:rsid w:val="007B1725"/>
    <w:rsid w:val="007B6C1E"/>
    <w:rsid w:val="007C273E"/>
    <w:rsid w:val="007E7C14"/>
    <w:rsid w:val="00812915"/>
    <w:rsid w:val="0086785C"/>
    <w:rsid w:val="008A1792"/>
    <w:rsid w:val="008A6B89"/>
    <w:rsid w:val="008B2A71"/>
    <w:rsid w:val="008C28C9"/>
    <w:rsid w:val="008F0DB3"/>
    <w:rsid w:val="00910048"/>
    <w:rsid w:val="00913D69"/>
    <w:rsid w:val="00914EC1"/>
    <w:rsid w:val="00926EB9"/>
    <w:rsid w:val="0097410A"/>
    <w:rsid w:val="00981AB6"/>
    <w:rsid w:val="00982DE9"/>
    <w:rsid w:val="00997684"/>
    <w:rsid w:val="009A6F8F"/>
    <w:rsid w:val="009C7390"/>
    <w:rsid w:val="009D5515"/>
    <w:rsid w:val="009E21DA"/>
    <w:rsid w:val="009E3C7E"/>
    <w:rsid w:val="009F3DCF"/>
    <w:rsid w:val="009F5C55"/>
    <w:rsid w:val="00A079B6"/>
    <w:rsid w:val="00A2314D"/>
    <w:rsid w:val="00A32AC3"/>
    <w:rsid w:val="00A404DD"/>
    <w:rsid w:val="00A50D10"/>
    <w:rsid w:val="00A56E33"/>
    <w:rsid w:val="00A818E1"/>
    <w:rsid w:val="00AA787F"/>
    <w:rsid w:val="00AB250B"/>
    <w:rsid w:val="00AD2DAB"/>
    <w:rsid w:val="00AD3930"/>
    <w:rsid w:val="00AF1CFE"/>
    <w:rsid w:val="00AF4945"/>
    <w:rsid w:val="00B23FBE"/>
    <w:rsid w:val="00B40DCF"/>
    <w:rsid w:val="00B8223C"/>
    <w:rsid w:val="00BA7D06"/>
    <w:rsid w:val="00BE36F4"/>
    <w:rsid w:val="00C31382"/>
    <w:rsid w:val="00C334C9"/>
    <w:rsid w:val="00C61ACC"/>
    <w:rsid w:val="00C85A6D"/>
    <w:rsid w:val="00CB2A41"/>
    <w:rsid w:val="00CE7BEF"/>
    <w:rsid w:val="00D01AF0"/>
    <w:rsid w:val="00D23F6C"/>
    <w:rsid w:val="00D2663E"/>
    <w:rsid w:val="00D83529"/>
    <w:rsid w:val="00DD1A9F"/>
    <w:rsid w:val="00E14EE4"/>
    <w:rsid w:val="00E2230D"/>
    <w:rsid w:val="00E25BC8"/>
    <w:rsid w:val="00E51F34"/>
    <w:rsid w:val="00E56BE1"/>
    <w:rsid w:val="00E629A9"/>
    <w:rsid w:val="00E75BD4"/>
    <w:rsid w:val="00EA5845"/>
    <w:rsid w:val="00EB0D7A"/>
    <w:rsid w:val="00EC4F30"/>
    <w:rsid w:val="00FB3748"/>
    <w:rsid w:val="00FD6585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03D6"/>
  <w15:chartTrackingRefBased/>
  <w15:docId w15:val="{EDA0CB94-1754-41C3-9879-7AA2A0E0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Segoe UI"/>
        <w:bCs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C334C9"/>
    <w:pPr>
      <w:spacing w:after="0" w:line="240" w:lineRule="auto"/>
    </w:pPr>
    <w:rPr>
      <w:rFonts w:ascii="Verdana" w:hAnsi="Verdana"/>
    </w:rPr>
    <w:tblPr>
      <w:tblStyleRowBandSize w:val="1"/>
      <w:tblStyleColBandSize w:val="1"/>
    </w:tblPr>
    <w:tblStylePr w:type="band1Horz">
      <w:rPr>
        <w:rFonts w:ascii="Verdana" w:hAnsi="Verdana"/>
        <w:color w:val="0070C0"/>
        <w:sz w:val="20"/>
      </w:rPr>
    </w:tblStylePr>
  </w:style>
  <w:style w:type="paragraph" w:styleId="TOC1">
    <w:name w:val="toc 1"/>
    <w:basedOn w:val="Normal"/>
    <w:next w:val="Normal"/>
    <w:autoRedefine/>
    <w:semiHidden/>
    <w:rsid w:val="00E56BE1"/>
    <w:pPr>
      <w:tabs>
        <w:tab w:val="right" w:leader="dot" w:pos="14128"/>
      </w:tabs>
      <w:spacing w:before="120" w:after="120" w:line="240" w:lineRule="auto"/>
      <w:jc w:val="both"/>
    </w:pPr>
    <w:rPr>
      <w:rFonts w:ascii="Verdana" w:eastAsia="Times New Roman" w:hAnsi="Verdana" w:cs="Times New Roman"/>
      <w:b/>
      <w:sz w:val="24"/>
      <w:szCs w:val="24"/>
      <w:u w:val="words"/>
    </w:rPr>
  </w:style>
  <w:style w:type="paragraph" w:styleId="BodyText">
    <w:name w:val="Body Text"/>
    <w:basedOn w:val="Normal"/>
    <w:link w:val="BodyTextChar"/>
    <w:uiPriority w:val="1"/>
    <w:qFormat/>
    <w:rsid w:val="000735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355B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07355B"/>
    <w:pPr>
      <w:spacing w:after="0" w:line="240" w:lineRule="auto"/>
      <w:ind w:left="720"/>
      <w:jc w:val="both"/>
    </w:pPr>
    <w:rPr>
      <w:rFonts w:ascii="Arial Narrow" w:eastAsia="Calibri" w:hAnsi="Arial Narrow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D39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5C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958"/>
  </w:style>
  <w:style w:type="paragraph" w:styleId="Footer">
    <w:name w:val="footer"/>
    <w:basedOn w:val="Normal"/>
    <w:link w:val="FooterChar"/>
    <w:uiPriority w:val="99"/>
    <w:unhideWhenUsed/>
    <w:rsid w:val="001E1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958"/>
  </w:style>
  <w:style w:type="table" w:styleId="TableGrid">
    <w:name w:val="Table Grid"/>
    <w:basedOn w:val="TableNormal"/>
    <w:uiPriority w:val="39"/>
    <w:rsid w:val="0097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DCF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CF"/>
    <w:rPr>
      <w:sz w:val="18"/>
      <w:szCs w:val="18"/>
    </w:rPr>
  </w:style>
  <w:style w:type="paragraph" w:customStyle="1" w:styleId="Default">
    <w:name w:val="Default"/>
    <w:rsid w:val="003B0425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b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2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thealthaustralia.com.au/wp-content/uploads/2022/11/2022-AnnualRepor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thealthaustralia.com.au/about-us/corporate-documents/company-constitutio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ilne@phau.com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lanthealthaustralia.com.au/about-us/corporate-documents/our-strategic-plan-2022-27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thealthaustralia.com.au/wp-content/uploads/2022/06/Annual-Operational-Plan-2022-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20" ma:contentTypeDescription="Create a new document." ma:contentTypeScope="" ma:versionID="9dd505178ff41607f431015135c6132e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e20a46e947b88dcaaca5575276f973cc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119b85-7177-4fe8-b730-246ea258f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f9279a-ce8f-4958-b098-9149b5a6d269}" ma:internalName="TaxCatchAll" ma:showField="CatchAllData" ma:web="e0bc9cf5-8e36-4ca2-81c3-ac8d32476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9cf5-8e36-4ca2-81c3-ac8d32476449" xsi:nil="true"/>
    <lcf76f155ced4ddcb4097134ff3c332f xmlns="648a38ae-82b1-4d05-aaae-3efddca0d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6990D-78A7-466F-B813-8F5111CF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FFCF3-75A1-4232-A1CD-06B6EF437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01C6-0E10-4130-B301-58020E7D6A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147BB-626A-4B95-BB4A-814FCBC3AEFA}">
  <ds:schemaRefs>
    <ds:schemaRef ds:uri="http://schemas.microsoft.com/office/2006/metadata/properties"/>
    <ds:schemaRef ds:uri="http://schemas.microsoft.com/office/infopath/2007/PartnerControls"/>
    <ds:schemaRef ds:uri="e0bc9cf5-8e36-4ca2-81c3-ac8d32476449"/>
    <ds:schemaRef ds:uri="648a38ae-82b1-4d05-aaae-3efddca0d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Milne</dc:creator>
  <cp:keywords/>
  <dc:description/>
  <cp:lastModifiedBy>Karin Steenkamp</cp:lastModifiedBy>
  <cp:revision>3</cp:revision>
  <cp:lastPrinted>2020-10-18T01:33:00Z</cp:lastPrinted>
  <dcterms:created xsi:type="dcterms:W3CDTF">2022-12-21T07:32:00Z</dcterms:created>
  <dcterms:modified xsi:type="dcterms:W3CDTF">2022-12-21T07:33:00Z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  <property fmtid="{D5CDD505-2E9C-101B-9397-08002B2CF9AE}" pid="3" name="Order">
    <vt:r8>7711800</vt:r8>
  </property>
  <property fmtid="{D5CDD505-2E9C-101B-9397-08002B2CF9AE}" pid="4" name="MediaServiceImageTags">
    <vt:lpwstr/>
  </property>
</Properties>
</file>